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Default Extension="png" ContentType="image/png"/>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Heading1"/>
        <w:spacing w:line="213" w:lineRule="auto" w:before="212"/>
        <w:ind w:left="106" w:right="5293"/>
      </w:pPr>
      <w:r>
        <w:rPr/>
        <w:pict>
          <v:shapetype id="_x0000_t202" o:spt="202" coordsize="21600,21600" path="m,l,21600r21600,l21600,xe">
            <v:stroke joinstyle="miter"/>
            <v:path gradientshapeok="t" o:connecttype="rect"/>
          </v:shapetype>
          <v:shape style="position:absolute;margin-left:56.692902pt;margin-top:125.053383pt;width:509.6pt;height:558.450pt;mso-position-horizontal-relative:page;mso-position-vertical-relative:paragraph;z-index:-117352" type="#_x0000_t202" filled="false" stroked="false">
            <v:textbox inset="0,0,0,0">
              <w:txbxContent>
                <w:p>
                  <w:pPr>
                    <w:spacing w:line="213" w:lineRule="auto" w:before="128"/>
                    <w:ind w:left="0" w:right="4289" w:firstLine="0"/>
                    <w:jc w:val="left"/>
                    <w:rPr>
                      <w:sz w:val="116"/>
                    </w:rPr>
                  </w:pPr>
                  <w:r>
                    <w:rPr>
                      <w:color w:val="8F999F"/>
                      <w:spacing w:val="-53"/>
                      <w:sz w:val="116"/>
                    </w:rPr>
                    <w:t>Corporate </w:t>
                  </w:r>
                  <w:r>
                    <w:rPr>
                      <w:color w:val="8F999F"/>
                      <w:spacing w:val="-56"/>
                      <w:sz w:val="116"/>
                    </w:rPr>
                    <w:t>Governance </w:t>
                  </w:r>
                  <w:r>
                    <w:rPr>
                      <w:color w:val="8F999F"/>
                      <w:spacing w:val="-36"/>
                      <w:sz w:val="116"/>
                    </w:rPr>
                    <w:t>Report</w:t>
                  </w:r>
                  <w:r>
                    <w:rPr>
                      <w:color w:val="8F999F"/>
                      <w:spacing w:val="92"/>
                      <w:sz w:val="116"/>
                    </w:rPr>
                    <w:t> </w:t>
                  </w:r>
                  <w:r>
                    <w:rPr>
                      <w:color w:val="8F999F"/>
                      <w:spacing w:val="-66"/>
                      <w:sz w:val="116"/>
                    </w:rPr>
                    <w:t>2013</w:t>
                  </w:r>
                </w:p>
                <w:p>
                  <w:pPr>
                    <w:pStyle w:val="BodyText"/>
                    <w:rPr>
                      <w:b/>
                      <w:sz w:val="134"/>
                    </w:rPr>
                  </w:pPr>
                </w:p>
                <w:p>
                  <w:pPr>
                    <w:pStyle w:val="BodyText"/>
                    <w:rPr>
                      <w:b/>
                      <w:sz w:val="134"/>
                    </w:rPr>
                  </w:pPr>
                </w:p>
                <w:p>
                  <w:pPr>
                    <w:pStyle w:val="BodyText"/>
                    <w:rPr>
                      <w:b/>
                      <w:sz w:val="134"/>
                    </w:rPr>
                  </w:pPr>
                </w:p>
                <w:p>
                  <w:pPr>
                    <w:pStyle w:val="BodyText"/>
                    <w:rPr>
                      <w:b/>
                      <w:sz w:val="134"/>
                    </w:rPr>
                  </w:pPr>
                </w:p>
                <w:p>
                  <w:pPr>
                    <w:spacing w:before="1045"/>
                    <w:ind w:left="0" w:right="0" w:firstLine="0"/>
                    <w:jc w:val="right"/>
                    <w:rPr>
                      <w:b/>
                      <w:sz w:val="15"/>
                    </w:rPr>
                  </w:pPr>
                  <w:r>
                    <w:rPr>
                      <w:b/>
                      <w:color w:val="586670"/>
                      <w:w w:val="105"/>
                      <w:sz w:val="15"/>
                    </w:rPr>
                    <w:t>11</w:t>
                  </w:r>
                </w:p>
              </w:txbxContent>
            </v:textbox>
            <w10:wrap type="none"/>
          </v:shape>
        </w:pict>
      </w:r>
      <w:r>
        <w:rPr/>
        <w:pict>
          <v:rect style="position:absolute;margin-left:0pt;margin-top:-.000004pt;width:595.275pt;height:737.008pt;mso-position-horizontal-relative:page;mso-position-vertical-relative:page;z-index:-117328" filled="true" fillcolor="#e6e8e9" stroked="false">
            <v:fill type="solid"/>
            <w10:wrap type="none"/>
          </v:rect>
        </w:pict>
      </w:r>
      <w:r>
        <w:rPr/>
        <w:pict>
          <v:group style="position:absolute;margin-left:487.985992pt;margin-top:10.726381pt;width:78.95pt;height:21.55pt;mso-position-horizontal-relative:page;mso-position-vertical-relative:paragraph;z-index:-117304" coordorigin="9760,215" coordsize="1579,431">
            <v:shape style="position:absolute;left:10721;top:214;width:609;height:425" coordorigin="10721,215" coordsize="609,425" path="m10907,386l10907,343,10900,336,10837,336,10837,336,10837,232,10826,221,10766,221,10756,232,10756,336,10729,336,10721,343,10721,386,10729,394,10756,394,10756,542,10762,579,10782,610,10813,632,10855,640,10897,640,10905,632,10905,584,10897,576,10897,576,10890,576,10882,576,10882,576,10863,573,10848,564,10840,549,10837,531,10837,394,10900,394,10907,386m11007,232l10997,221,10935,221,10924,232,10924,629,10935,639,10997,639,11007,629,11007,232m11330,225l11321,215,11074,239,11057,241,11052,248,11052,280,11058,286,11321,286,11330,277,11330,225e" filled="true" fillcolor="#586670" stroked="false">
              <v:path arrowok="t"/>
              <v:fill type="solid"/>
            </v:shape>
            <v:shape style="position:absolute;left:11032;top:324;width:307;height:321" type="#_x0000_t75" stroked="false">
              <v:imagedata r:id="rId6" o:title=""/>
            </v:shape>
            <v:shape style="position:absolute;left:10132;top:324;width:307;height:321" type="#_x0000_t75" stroked="false">
              <v:imagedata r:id="rId7" o:title=""/>
            </v:shape>
            <v:shape style="position:absolute;left:9759;top:218;width:948;height:422" coordorigin="9760,218" coordsize="948,422" path="m9839,218l9772,218,9760,230,9760,628,9772,639,9834,639,9846,628,9846,606,9844,355,9943,355,9906,288,9886,252,9880,241,9874,233,9864,225,9853,220,9839,218xm9943,355l9844,355,9967,576,9984,606,9989,616,9996,625,10005,633,10017,638,10030,639,10093,639,10105,628,10105,503,10025,503,9943,355xm10699,225l10035,225,10023,237,10023,252,10025,503,10105,503,10105,288,10699,288,10707,280,10707,233,10699,225xe" filled="true" fillcolor="#586670" stroked="false">
              <v:path arrowok="t"/>
              <v:fill type="solid"/>
            </v:shape>
            <v:shape style="position:absolute;left:10450;top:324;width:273;height:321" type="#_x0000_t75" stroked="false">
              <v:imagedata r:id="rId8" o:title=""/>
            </v:shape>
            <w10:wrap type="none"/>
          </v:group>
        </w:pict>
      </w:r>
      <w:r>
        <w:rPr/>
        <w:drawing>
          <wp:anchor distT="0" distB="0" distL="0" distR="0" allowOverlap="1" layoutInCell="1" locked="0" behindDoc="1" simplePos="0" relativeHeight="268318175">
            <wp:simplePos x="0" y="0"/>
            <wp:positionH relativeFrom="page">
              <wp:posOffset>5410299</wp:posOffset>
            </wp:positionH>
            <wp:positionV relativeFrom="paragraph">
              <wp:posOffset>17054</wp:posOffset>
            </wp:positionV>
            <wp:extent cx="699619" cy="469829"/>
            <wp:effectExtent l="0" t="0" r="0" b="0"/>
            <wp:wrapNone/>
            <wp:docPr id="1" name="image4.png" descr=""/>
            <wp:cNvGraphicFramePr>
              <a:graphicFrameLocks noChangeAspect="1"/>
            </wp:cNvGraphicFramePr>
            <a:graphic>
              <a:graphicData uri="http://schemas.openxmlformats.org/drawingml/2006/picture">
                <pic:pic>
                  <pic:nvPicPr>
                    <pic:cNvPr id="2" name="image4.png"/>
                    <pic:cNvPicPr/>
                  </pic:nvPicPr>
                  <pic:blipFill>
                    <a:blip r:embed="rId9" cstate="print"/>
                    <a:stretch>
                      <a:fillRect/>
                    </a:stretch>
                  </pic:blipFill>
                  <pic:spPr>
                    <a:xfrm>
                      <a:off x="0" y="0"/>
                      <a:ext cx="699619" cy="469829"/>
                    </a:xfrm>
                    <a:prstGeom prst="rect">
                      <a:avLst/>
                    </a:prstGeom>
                  </pic:spPr>
                </pic:pic>
              </a:graphicData>
            </a:graphic>
          </wp:anchor>
        </w:drawing>
      </w:r>
      <w:r>
        <w:rPr/>
        <w:pict>
          <v:group style="position:absolute;margin-left:428.526001pt;margin-top:48.672382pt;width:32.65pt;height:10.5pt;mso-position-horizontal-relative:page;mso-position-vertical-relative:paragraph;z-index:-117256" coordorigin="8571,973" coordsize="653,210">
            <v:shape style="position:absolute;left:8570;top:973;width:159;height:208" type="#_x0000_t75" stroked="false">
              <v:imagedata r:id="rId10" o:title=""/>
            </v:shape>
            <v:shape style="position:absolute;left:8771;top:1035;width:133;height:148" type="#_x0000_t75" stroked="false">
              <v:imagedata r:id="rId11" o:title=""/>
            </v:shape>
            <v:shape style="position:absolute;left:8934;top:1035;width:133;height:148" type="#_x0000_t75" stroked="false">
              <v:imagedata r:id="rId12" o:title=""/>
            </v:shape>
            <v:shape style="position:absolute;left:9097;top:977;width:126;height:205" type="#_x0000_t75" stroked="false">
              <v:imagedata r:id="rId13" o:title=""/>
            </v:shape>
            <w10:wrap type="none"/>
          </v:group>
        </w:pict>
      </w:r>
      <w:r>
        <w:rPr/>
        <w:pict>
          <v:group style="position:absolute;margin-left:467.973999pt;margin-top:48.869381pt;width:32.9pt;height:11.8pt;mso-position-horizontal-relative:page;mso-position-vertical-relative:paragraph;z-index:-117232" coordorigin="9359,977" coordsize="658,236">
            <v:shape style="position:absolute;left:9359;top:977;width:268;height:206" type="#_x0000_t75" stroked="false">
              <v:imagedata r:id="rId14" o:title=""/>
            </v:shape>
            <v:shape style="position:absolute;left:9657;top:1035;width:133;height:148" type="#_x0000_t75" stroked="false">
              <v:imagedata r:id="rId15" o:title=""/>
            </v:shape>
            <v:shape style="position:absolute;left:9821;top:977;width:126;height:205" type="#_x0000_t75" stroked="false">
              <v:imagedata r:id="rId16" o:title=""/>
            </v:shape>
            <v:shape style="position:absolute;left:9979;top:1155;width:38;height:58" coordorigin="9980,1156" coordsize="38,58" path="m10017,1156l9994,1156,9980,1213,9995,1213,10017,1156xe" filled="true" fillcolor="#586670" stroked="false">
              <v:path arrowok="t"/>
              <v:fill type="solid"/>
            </v:shape>
            <w10:wrap type="none"/>
          </v:group>
        </w:pict>
      </w:r>
      <w:r>
        <w:rPr/>
        <w:pict>
          <v:group style="position:absolute;margin-left:506.274994pt;margin-top:48.672382pt;width:32.65pt;height:10.5pt;mso-position-horizontal-relative:page;mso-position-vertical-relative:paragraph;z-index:-117208" coordorigin="10125,973" coordsize="653,210">
            <v:shape style="position:absolute;left:10125;top:973;width:159;height:208" type="#_x0000_t75" stroked="false">
              <v:imagedata r:id="rId17" o:title=""/>
            </v:shape>
            <v:shape style="position:absolute;left:10326;top:1035;width:133;height:148" type="#_x0000_t75" stroked="false">
              <v:imagedata r:id="rId18" o:title=""/>
            </v:shape>
            <v:shape style="position:absolute;left:10489;top:1035;width:133;height:148" type="#_x0000_t75" stroked="false">
              <v:imagedata r:id="rId19" o:title=""/>
            </v:shape>
            <v:shape style="position:absolute;left:10652;top:977;width:126;height:205" type="#_x0000_t75" stroked="false">
              <v:imagedata r:id="rId20" o:title=""/>
            </v:shape>
            <w10:wrap type="none"/>
          </v:group>
        </w:pict>
      </w:r>
      <w:r>
        <w:rPr/>
        <w:pict>
          <v:group style="position:absolute;margin-left:545.706970pt;margin-top:48.771381pt;width:21.15pt;height:10.4pt;mso-position-horizontal-relative:page;mso-position-vertical-relative:paragraph;z-index:-117184" coordorigin="10914,975" coordsize="423,208">
            <v:rect style="position:absolute;left:10914;top:1163;width:120;height:16" filled="true" fillcolor="#586670" stroked="false">
              <v:fill type="solid"/>
            </v:rect>
            <v:line style="position:absolute" from="10923,978" to="10923,1164" stroked="true" strokeweight=".909pt" strokecolor="#586670">
              <v:stroke dashstyle="solid"/>
            </v:line>
            <v:rect style="position:absolute;left:11058;top:977;width:21;height:22" filled="true" fillcolor="#586670" stroked="false">
              <v:fill type="solid"/>
            </v:rect>
            <v:line style="position:absolute" from="11069,1038" to="11069,1180" stroked="true" strokeweight=".854pt" strokecolor="#586670">
              <v:stroke dashstyle="solid"/>
            </v:line>
            <v:shape style="position:absolute;left:11113;top:975;width:224;height:208" type="#_x0000_t75" stroked="false">
              <v:imagedata r:id="rId21" o:title=""/>
            </v:shape>
            <w10:wrap type="none"/>
          </v:group>
        </w:pict>
      </w:r>
      <w:bookmarkStart w:name="Corporate Governance Report 2013" w:id="1"/>
      <w:bookmarkEnd w:id="1"/>
      <w:r>
        <w:rPr/>
      </w:r>
      <w:r>
        <w:rPr>
          <w:color w:val="586670"/>
          <w:spacing w:val="-79"/>
        </w:rPr>
        <w:t>Corporate </w:t>
      </w:r>
      <w:r>
        <w:rPr>
          <w:color w:val="586670"/>
          <w:spacing w:val="-73"/>
        </w:rPr>
        <w:t>Governance </w:t>
      </w:r>
      <w:r>
        <w:rPr>
          <w:color w:val="586670"/>
          <w:spacing w:val="-53"/>
        </w:rPr>
        <w:t>Report </w:t>
      </w:r>
      <w:r>
        <w:rPr>
          <w:color w:val="586670"/>
          <w:spacing w:val="-132"/>
        </w:rPr>
        <w:t>2013</w:t>
      </w:r>
    </w:p>
    <w:p>
      <w:pPr>
        <w:pStyle w:val="BodyText"/>
        <w:rPr>
          <w:sz w:val="20"/>
        </w:rPr>
      </w:pPr>
    </w:p>
    <w:p>
      <w:pPr>
        <w:pStyle w:val="BodyText"/>
        <w:rPr>
          <w:sz w:val="20"/>
        </w:rPr>
      </w:pPr>
    </w:p>
    <w:p>
      <w:pPr>
        <w:pStyle w:val="BodyText"/>
        <w:rPr>
          <w:sz w:val="20"/>
        </w:rPr>
      </w:pPr>
    </w:p>
    <w:p>
      <w:pPr>
        <w:pStyle w:val="BodyText"/>
        <w:spacing w:before="10"/>
        <w:rPr>
          <w:sz w:val="19"/>
        </w:rPr>
      </w:pPr>
      <w:r>
        <w:rPr/>
        <w:pict>
          <v:line style="position:absolute;mso-position-horizontal-relative:page;mso-position-vertical-relative:paragraph;z-index:-1024;mso-wrap-distance-left:0;mso-wrap-distance-right:0" from="31.889799pt,13.742989pt" to="152.361799pt,13.742989pt" stroked="true" strokeweight=".5pt" strokecolor="#231f20">
            <v:stroke dashstyle="solid"/>
            <w10:wrap type="topAndBottom"/>
          </v:line>
        </w:pict>
      </w:r>
    </w:p>
    <w:p>
      <w:pPr>
        <w:spacing w:line="960" w:lineRule="atLeast" w:before="54"/>
        <w:ind w:left="163" w:right="5293" w:firstLine="0"/>
        <w:jc w:val="left"/>
        <w:rPr>
          <w:sz w:val="44"/>
        </w:rPr>
      </w:pPr>
      <w:r>
        <w:rPr>
          <w:color w:val="586670"/>
          <w:spacing w:val="-15"/>
          <w:sz w:val="44"/>
        </w:rPr>
        <w:t>Compensation </w:t>
      </w:r>
      <w:r>
        <w:rPr>
          <w:color w:val="586670"/>
          <w:spacing w:val="-11"/>
          <w:sz w:val="44"/>
        </w:rPr>
        <w:t>Report </w:t>
      </w:r>
      <w:r>
        <w:rPr>
          <w:color w:val="586670"/>
          <w:spacing w:val="-24"/>
          <w:sz w:val="44"/>
        </w:rPr>
        <w:t>2013 </w:t>
      </w:r>
      <w:r>
        <w:rPr>
          <w:color w:val="586670"/>
          <w:spacing w:val="-11"/>
          <w:sz w:val="44"/>
        </w:rPr>
        <w:t>Articles </w:t>
      </w:r>
      <w:r>
        <w:rPr>
          <w:color w:val="586670"/>
          <w:spacing w:val="-10"/>
          <w:sz w:val="44"/>
        </w:rPr>
        <w:t>of</w:t>
      </w:r>
      <w:r>
        <w:rPr>
          <w:color w:val="586670"/>
          <w:spacing w:val="-67"/>
          <w:sz w:val="44"/>
        </w:rPr>
        <w:t> </w:t>
      </w:r>
      <w:r>
        <w:rPr>
          <w:color w:val="586670"/>
          <w:spacing w:val="-15"/>
          <w:sz w:val="44"/>
        </w:rPr>
        <w:t>Association</w:t>
      </w:r>
    </w:p>
    <w:p>
      <w:pPr>
        <w:spacing w:line="480" w:lineRule="exact" w:before="0"/>
        <w:ind w:left="163" w:right="0" w:firstLine="0"/>
        <w:jc w:val="left"/>
        <w:rPr>
          <w:sz w:val="44"/>
        </w:rPr>
      </w:pPr>
      <w:r>
        <w:rPr>
          <w:color w:val="586670"/>
          <w:spacing w:val="-10"/>
          <w:sz w:val="44"/>
        </w:rPr>
        <w:t>of </w:t>
      </w:r>
      <w:r>
        <w:rPr>
          <w:color w:val="586670"/>
          <w:spacing w:val="-13"/>
          <w:sz w:val="44"/>
        </w:rPr>
        <w:t>Nestlé</w:t>
      </w:r>
      <w:r>
        <w:rPr>
          <w:color w:val="586670"/>
          <w:spacing w:val="-78"/>
          <w:sz w:val="44"/>
        </w:rPr>
        <w:t> </w:t>
      </w:r>
      <w:r>
        <w:rPr>
          <w:color w:val="586670"/>
          <w:spacing w:val="-10"/>
          <w:sz w:val="44"/>
        </w:rPr>
        <w:t>S.A.</w:t>
      </w:r>
    </w:p>
    <w:p>
      <w:pPr>
        <w:pStyle w:val="Heading3"/>
        <w:spacing w:line="276" w:lineRule="auto" w:before="87"/>
        <w:ind w:left="174" w:right="6860"/>
      </w:pPr>
      <w:r>
        <w:rPr>
          <w:color w:val="586670"/>
          <w:w w:val="110"/>
        </w:rPr>
        <w:t>Amended by the AnnuaI General Meeting of 19 April 2012</w:t>
      </w:r>
    </w:p>
    <w:p>
      <w:pPr>
        <w:spacing w:after="0" w:line="276" w:lineRule="auto"/>
        <w:sectPr>
          <w:headerReference w:type="default" r:id="rId5"/>
          <w:type w:val="continuous"/>
          <w:pgSz w:w="11910" w:h="14750"/>
          <w:pgMar w:header="0" w:top="540" w:bottom="280" w:left="460" w:right="460"/>
        </w:sectPr>
      </w:pPr>
    </w:p>
    <w:p>
      <w:pPr>
        <w:pStyle w:val="BodyText"/>
        <w:spacing w:before="6"/>
        <w:rPr>
          <w:b/>
          <w:sz w:val="29"/>
        </w:rPr>
      </w:pPr>
      <w:r>
        <w:rPr/>
        <w:pict>
          <v:rect style="position:absolute;margin-left:28.346001pt;margin-top:28.346996pt;width:515.906000pt;height:660pt;mso-position-horizontal-relative:page;mso-position-vertical-relative:page;z-index:-117160" filled="true" fillcolor="#e6e8e9" stroked="false">
            <v:fill type="solid"/>
            <w10:wrap type="none"/>
          </v:rect>
        </w:pict>
      </w:r>
    </w:p>
    <w:tbl>
      <w:tblPr>
        <w:tblW w:w="0" w:type="auto"/>
        <w:jc w:val="left"/>
        <w:tblInd w:w="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52"/>
        <w:gridCol w:w="448"/>
        <w:gridCol w:w="5814"/>
      </w:tblGrid>
      <w:tr>
        <w:trPr>
          <w:trHeight w:val="313" w:hRule="atLeast"/>
        </w:trPr>
        <w:tc>
          <w:tcPr>
            <w:tcW w:w="800" w:type="dxa"/>
            <w:gridSpan w:val="2"/>
            <w:shd w:val="clear" w:color="auto" w:fill="E6E8E9"/>
          </w:tcPr>
          <w:p>
            <w:pPr>
              <w:pStyle w:val="TableParagraph"/>
              <w:spacing w:line="240" w:lineRule="auto" w:before="0"/>
              <w:rPr>
                <w:rFonts w:ascii="Times New Roman"/>
                <w:sz w:val="16"/>
              </w:rPr>
            </w:pPr>
          </w:p>
        </w:tc>
        <w:tc>
          <w:tcPr>
            <w:tcW w:w="5814" w:type="dxa"/>
            <w:shd w:val="clear" w:color="auto" w:fill="E6E8E9"/>
          </w:tcPr>
          <w:p>
            <w:pPr>
              <w:pStyle w:val="TableParagraph"/>
              <w:spacing w:line="240" w:lineRule="auto" w:before="3"/>
              <w:ind w:left="118"/>
              <w:rPr>
                <w:b/>
                <w:sz w:val="15"/>
              </w:rPr>
            </w:pPr>
            <w:bookmarkStart w:name="Content " w:id="2"/>
            <w:bookmarkEnd w:id="2"/>
            <w:r>
              <w:rPr/>
            </w:r>
            <w:r>
              <w:rPr>
                <w:b/>
                <w:color w:val="586670"/>
                <w:w w:val="105"/>
                <w:sz w:val="15"/>
              </w:rPr>
              <w:t>Situation at 31 December 2013</w:t>
            </w:r>
          </w:p>
        </w:tc>
      </w:tr>
      <w:tr>
        <w:trPr>
          <w:trHeight w:val="362" w:hRule="atLeast"/>
        </w:trPr>
        <w:tc>
          <w:tcPr>
            <w:tcW w:w="352" w:type="dxa"/>
            <w:shd w:val="clear" w:color="auto" w:fill="E6E8E9"/>
          </w:tcPr>
          <w:p>
            <w:pPr>
              <w:pStyle w:val="TableParagraph"/>
              <w:spacing w:line="240" w:lineRule="auto" w:before="6"/>
              <w:rPr>
                <w:b/>
                <w:sz w:val="14"/>
              </w:rPr>
            </w:pPr>
          </w:p>
          <w:p>
            <w:pPr>
              <w:pStyle w:val="TableParagraph"/>
              <w:spacing w:line="174" w:lineRule="exact" w:before="0"/>
              <w:ind w:left="50"/>
              <w:rPr>
                <w:b/>
                <w:sz w:val="15"/>
              </w:rPr>
            </w:pPr>
            <w:r>
              <w:rPr>
                <w:b/>
                <w:color w:val="586670"/>
                <w:w w:val="105"/>
                <w:sz w:val="15"/>
              </w:rPr>
              <w:t>13</w:t>
            </w:r>
          </w:p>
        </w:tc>
        <w:tc>
          <w:tcPr>
            <w:tcW w:w="448" w:type="dxa"/>
            <w:shd w:val="clear" w:color="auto" w:fill="E6E8E9"/>
          </w:tcPr>
          <w:p>
            <w:pPr>
              <w:pStyle w:val="TableParagraph"/>
              <w:spacing w:line="240" w:lineRule="auto" w:before="6"/>
              <w:rPr>
                <w:b/>
                <w:sz w:val="14"/>
              </w:rPr>
            </w:pPr>
          </w:p>
          <w:p>
            <w:pPr>
              <w:pStyle w:val="TableParagraph"/>
              <w:spacing w:line="174" w:lineRule="exact" w:before="0"/>
              <w:ind w:left="113"/>
              <w:rPr>
                <w:sz w:val="15"/>
              </w:rPr>
            </w:pPr>
            <w:r>
              <w:rPr>
                <w:color w:val="0083CA"/>
                <w:sz w:val="15"/>
              </w:rPr>
              <w:t>1.</w:t>
            </w:r>
          </w:p>
        </w:tc>
        <w:tc>
          <w:tcPr>
            <w:tcW w:w="5814" w:type="dxa"/>
            <w:shd w:val="clear" w:color="auto" w:fill="E6E8E9"/>
          </w:tcPr>
          <w:p>
            <w:pPr>
              <w:pStyle w:val="TableParagraph"/>
              <w:spacing w:line="202" w:lineRule="exact" w:before="141"/>
              <w:ind w:left="118"/>
              <w:rPr>
                <w:sz w:val="18"/>
              </w:rPr>
            </w:pPr>
            <w:r>
              <w:rPr>
                <w:color w:val="0083CA"/>
                <w:w w:val="105"/>
                <w:sz w:val="18"/>
              </w:rPr>
              <w:t>Group structure and shareholders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1.1</w:t>
            </w:r>
          </w:p>
        </w:tc>
        <w:tc>
          <w:tcPr>
            <w:tcW w:w="5814" w:type="dxa"/>
            <w:shd w:val="clear" w:color="auto" w:fill="E6E8E9"/>
          </w:tcPr>
          <w:p>
            <w:pPr>
              <w:pStyle w:val="TableParagraph"/>
              <w:spacing w:line="202" w:lineRule="exact" w:before="18"/>
              <w:ind w:left="118"/>
              <w:rPr>
                <w:sz w:val="18"/>
              </w:rPr>
            </w:pPr>
            <w:r>
              <w:rPr>
                <w:color w:val="231F20"/>
                <w:sz w:val="18"/>
              </w:rPr>
              <w:t>Group structure</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1.2</w:t>
            </w:r>
          </w:p>
        </w:tc>
        <w:tc>
          <w:tcPr>
            <w:tcW w:w="5814" w:type="dxa"/>
            <w:shd w:val="clear" w:color="auto" w:fill="E6E8E9"/>
          </w:tcPr>
          <w:p>
            <w:pPr>
              <w:pStyle w:val="TableParagraph"/>
              <w:spacing w:line="202" w:lineRule="exact" w:before="18"/>
              <w:ind w:left="118"/>
              <w:rPr>
                <w:sz w:val="18"/>
              </w:rPr>
            </w:pPr>
            <w:r>
              <w:rPr>
                <w:color w:val="231F20"/>
                <w:sz w:val="18"/>
              </w:rPr>
              <w:t>Significant shareholders</w:t>
            </w:r>
          </w:p>
        </w:tc>
      </w:tr>
      <w:tr>
        <w:trPr>
          <w:trHeight w:val="30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240" w:lineRule="auto" w:before="46"/>
              <w:ind w:left="113"/>
              <w:rPr>
                <w:sz w:val="15"/>
              </w:rPr>
            </w:pPr>
            <w:r>
              <w:rPr>
                <w:color w:val="231F20"/>
                <w:sz w:val="15"/>
              </w:rPr>
              <w:t>1.3</w:t>
            </w:r>
          </w:p>
        </w:tc>
        <w:tc>
          <w:tcPr>
            <w:tcW w:w="5814" w:type="dxa"/>
            <w:shd w:val="clear" w:color="auto" w:fill="E6E8E9"/>
          </w:tcPr>
          <w:p>
            <w:pPr>
              <w:pStyle w:val="TableParagraph"/>
              <w:spacing w:line="240" w:lineRule="auto" w:before="18"/>
              <w:ind w:left="118"/>
              <w:rPr>
                <w:sz w:val="18"/>
              </w:rPr>
            </w:pPr>
            <w:r>
              <w:rPr>
                <w:color w:val="231F20"/>
                <w:w w:val="105"/>
                <w:sz w:val="18"/>
              </w:rPr>
              <w:t>Cross-shareholdings</w:t>
            </w:r>
          </w:p>
        </w:tc>
      </w:tr>
      <w:tr>
        <w:trPr>
          <w:trHeight w:val="300" w:hRule="atLeast"/>
        </w:trPr>
        <w:tc>
          <w:tcPr>
            <w:tcW w:w="352" w:type="dxa"/>
            <w:shd w:val="clear" w:color="auto" w:fill="E6E8E9"/>
          </w:tcPr>
          <w:p>
            <w:pPr>
              <w:pStyle w:val="TableParagraph"/>
              <w:spacing w:line="174" w:lineRule="exact" w:before="106"/>
              <w:ind w:left="50"/>
              <w:rPr>
                <w:b/>
                <w:sz w:val="15"/>
              </w:rPr>
            </w:pPr>
            <w:r>
              <w:rPr>
                <w:b/>
                <w:color w:val="586670"/>
                <w:w w:val="105"/>
                <w:sz w:val="15"/>
              </w:rPr>
              <w:t>14</w:t>
            </w:r>
          </w:p>
        </w:tc>
        <w:tc>
          <w:tcPr>
            <w:tcW w:w="448" w:type="dxa"/>
            <w:shd w:val="clear" w:color="auto" w:fill="E6E8E9"/>
          </w:tcPr>
          <w:p>
            <w:pPr>
              <w:pStyle w:val="TableParagraph"/>
              <w:spacing w:line="174" w:lineRule="exact" w:before="106"/>
              <w:ind w:left="113"/>
              <w:rPr>
                <w:sz w:val="15"/>
              </w:rPr>
            </w:pPr>
            <w:r>
              <w:rPr>
                <w:color w:val="0083CA"/>
                <w:sz w:val="15"/>
              </w:rPr>
              <w:t>2.</w:t>
            </w:r>
          </w:p>
        </w:tc>
        <w:tc>
          <w:tcPr>
            <w:tcW w:w="5814" w:type="dxa"/>
            <w:shd w:val="clear" w:color="auto" w:fill="E6E8E9"/>
          </w:tcPr>
          <w:p>
            <w:pPr>
              <w:pStyle w:val="TableParagraph"/>
              <w:spacing w:line="202" w:lineRule="exact" w:before="78"/>
              <w:ind w:left="118"/>
              <w:rPr>
                <w:sz w:val="18"/>
              </w:rPr>
            </w:pPr>
            <w:r>
              <w:rPr>
                <w:color w:val="0083CA"/>
                <w:sz w:val="18"/>
              </w:rPr>
              <w:t>Capital structure</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2.1</w:t>
            </w:r>
          </w:p>
        </w:tc>
        <w:tc>
          <w:tcPr>
            <w:tcW w:w="5814" w:type="dxa"/>
            <w:shd w:val="clear" w:color="auto" w:fill="E6E8E9"/>
          </w:tcPr>
          <w:p>
            <w:pPr>
              <w:pStyle w:val="TableParagraph"/>
              <w:spacing w:line="202" w:lineRule="exact" w:before="18"/>
              <w:ind w:left="118"/>
              <w:rPr>
                <w:sz w:val="18"/>
              </w:rPr>
            </w:pPr>
            <w:r>
              <w:rPr>
                <w:color w:val="231F20"/>
                <w:sz w:val="18"/>
              </w:rPr>
              <w:t>Capital</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2.2</w:t>
            </w:r>
          </w:p>
        </w:tc>
        <w:tc>
          <w:tcPr>
            <w:tcW w:w="5814" w:type="dxa"/>
            <w:shd w:val="clear" w:color="auto" w:fill="E6E8E9"/>
          </w:tcPr>
          <w:p>
            <w:pPr>
              <w:pStyle w:val="TableParagraph"/>
              <w:spacing w:line="202" w:lineRule="exact" w:before="18"/>
              <w:ind w:left="118"/>
              <w:rPr>
                <w:sz w:val="18"/>
              </w:rPr>
            </w:pPr>
            <w:r>
              <w:rPr>
                <w:color w:val="231F20"/>
                <w:sz w:val="18"/>
              </w:rPr>
              <w:t>Conditional capital</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2.3</w:t>
            </w:r>
          </w:p>
        </w:tc>
        <w:tc>
          <w:tcPr>
            <w:tcW w:w="5814" w:type="dxa"/>
            <w:shd w:val="clear" w:color="auto" w:fill="E6E8E9"/>
          </w:tcPr>
          <w:p>
            <w:pPr>
              <w:pStyle w:val="TableParagraph"/>
              <w:spacing w:line="202" w:lineRule="exact" w:before="18"/>
              <w:ind w:left="118"/>
              <w:rPr>
                <w:sz w:val="18"/>
              </w:rPr>
            </w:pPr>
            <w:r>
              <w:rPr>
                <w:color w:val="231F20"/>
                <w:sz w:val="18"/>
              </w:rPr>
              <w:t>Changes in capital</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2.4</w:t>
            </w:r>
          </w:p>
        </w:tc>
        <w:tc>
          <w:tcPr>
            <w:tcW w:w="5814" w:type="dxa"/>
            <w:shd w:val="clear" w:color="auto" w:fill="E6E8E9"/>
          </w:tcPr>
          <w:p>
            <w:pPr>
              <w:pStyle w:val="TableParagraph"/>
              <w:spacing w:line="202" w:lineRule="exact" w:before="18"/>
              <w:ind w:left="118"/>
              <w:rPr>
                <w:sz w:val="18"/>
              </w:rPr>
            </w:pPr>
            <w:r>
              <w:rPr>
                <w:color w:val="231F20"/>
                <w:sz w:val="18"/>
              </w:rPr>
              <w:t>Shares and participation certificates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2.5</w:t>
            </w:r>
          </w:p>
        </w:tc>
        <w:tc>
          <w:tcPr>
            <w:tcW w:w="5814" w:type="dxa"/>
            <w:shd w:val="clear" w:color="auto" w:fill="E6E8E9"/>
          </w:tcPr>
          <w:p>
            <w:pPr>
              <w:pStyle w:val="TableParagraph"/>
              <w:spacing w:line="202" w:lineRule="exact" w:before="18"/>
              <w:ind w:left="118"/>
              <w:rPr>
                <w:sz w:val="18"/>
              </w:rPr>
            </w:pPr>
            <w:r>
              <w:rPr>
                <w:color w:val="231F20"/>
                <w:sz w:val="18"/>
              </w:rPr>
              <w:t>Profit sharing certificates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2.6</w:t>
            </w:r>
          </w:p>
        </w:tc>
        <w:tc>
          <w:tcPr>
            <w:tcW w:w="5814" w:type="dxa"/>
            <w:shd w:val="clear" w:color="auto" w:fill="E6E8E9"/>
          </w:tcPr>
          <w:p>
            <w:pPr>
              <w:pStyle w:val="TableParagraph"/>
              <w:spacing w:line="202" w:lineRule="exact" w:before="18"/>
              <w:ind w:left="118"/>
              <w:rPr>
                <w:sz w:val="18"/>
              </w:rPr>
            </w:pPr>
            <w:r>
              <w:rPr>
                <w:color w:val="231F20"/>
                <w:sz w:val="18"/>
              </w:rPr>
              <w:t>Limitations on transferability and nominee registrations</w:t>
            </w:r>
          </w:p>
        </w:tc>
      </w:tr>
      <w:tr>
        <w:trPr>
          <w:trHeight w:val="30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240" w:lineRule="auto" w:before="46"/>
              <w:ind w:left="113"/>
              <w:rPr>
                <w:sz w:val="15"/>
              </w:rPr>
            </w:pPr>
            <w:r>
              <w:rPr>
                <w:color w:val="231F20"/>
                <w:sz w:val="15"/>
              </w:rPr>
              <w:t>2.7</w:t>
            </w:r>
          </w:p>
        </w:tc>
        <w:tc>
          <w:tcPr>
            <w:tcW w:w="5814" w:type="dxa"/>
            <w:shd w:val="clear" w:color="auto" w:fill="E6E8E9"/>
          </w:tcPr>
          <w:p>
            <w:pPr>
              <w:pStyle w:val="TableParagraph"/>
              <w:spacing w:line="240" w:lineRule="auto" w:before="18"/>
              <w:ind w:left="118"/>
              <w:rPr>
                <w:sz w:val="18"/>
              </w:rPr>
            </w:pPr>
            <w:r>
              <w:rPr>
                <w:color w:val="231F20"/>
                <w:w w:val="105"/>
                <w:sz w:val="18"/>
              </w:rPr>
              <w:t>Convertible bonds and options</w:t>
            </w:r>
          </w:p>
        </w:tc>
      </w:tr>
      <w:tr>
        <w:trPr>
          <w:trHeight w:val="300" w:hRule="atLeast"/>
        </w:trPr>
        <w:tc>
          <w:tcPr>
            <w:tcW w:w="352" w:type="dxa"/>
            <w:shd w:val="clear" w:color="auto" w:fill="E6E8E9"/>
          </w:tcPr>
          <w:p>
            <w:pPr>
              <w:pStyle w:val="TableParagraph"/>
              <w:spacing w:line="174" w:lineRule="exact" w:before="106"/>
              <w:ind w:left="50"/>
              <w:rPr>
                <w:b/>
                <w:sz w:val="15"/>
              </w:rPr>
            </w:pPr>
            <w:r>
              <w:rPr>
                <w:b/>
                <w:color w:val="586670"/>
                <w:w w:val="105"/>
                <w:sz w:val="15"/>
              </w:rPr>
              <w:t>16</w:t>
            </w:r>
          </w:p>
        </w:tc>
        <w:tc>
          <w:tcPr>
            <w:tcW w:w="448" w:type="dxa"/>
            <w:shd w:val="clear" w:color="auto" w:fill="E6E8E9"/>
          </w:tcPr>
          <w:p>
            <w:pPr>
              <w:pStyle w:val="TableParagraph"/>
              <w:spacing w:line="174" w:lineRule="exact" w:before="106"/>
              <w:ind w:left="113"/>
              <w:rPr>
                <w:sz w:val="15"/>
              </w:rPr>
            </w:pPr>
            <w:r>
              <w:rPr>
                <w:color w:val="0083CA"/>
                <w:sz w:val="15"/>
              </w:rPr>
              <w:t>3.</w:t>
            </w:r>
          </w:p>
        </w:tc>
        <w:tc>
          <w:tcPr>
            <w:tcW w:w="5814" w:type="dxa"/>
            <w:shd w:val="clear" w:color="auto" w:fill="E6E8E9"/>
          </w:tcPr>
          <w:p>
            <w:pPr>
              <w:pStyle w:val="TableParagraph"/>
              <w:spacing w:line="205" w:lineRule="exact" w:before="75"/>
              <w:ind w:left="118"/>
              <w:rPr>
                <w:sz w:val="13"/>
              </w:rPr>
            </w:pPr>
            <w:r>
              <w:rPr>
                <w:color w:val="0083CA"/>
                <w:sz w:val="18"/>
              </w:rPr>
              <w:t>Board of Directors </w:t>
            </w:r>
            <w:r>
              <w:rPr>
                <w:color w:val="0083CA"/>
                <w:position w:val="5"/>
                <w:sz w:val="13"/>
              </w:rPr>
              <w:t>(1)</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3.1</w:t>
            </w:r>
          </w:p>
        </w:tc>
        <w:tc>
          <w:tcPr>
            <w:tcW w:w="5814" w:type="dxa"/>
            <w:shd w:val="clear" w:color="auto" w:fill="E6E8E9"/>
          </w:tcPr>
          <w:p>
            <w:pPr>
              <w:pStyle w:val="TableParagraph"/>
              <w:spacing w:line="202" w:lineRule="exact" w:before="18"/>
              <w:ind w:left="118"/>
              <w:rPr>
                <w:sz w:val="18"/>
              </w:rPr>
            </w:pPr>
            <w:r>
              <w:rPr>
                <w:color w:val="231F20"/>
                <w:sz w:val="18"/>
              </w:rPr>
              <w:t>Members of the Board of Directors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3.2</w:t>
            </w:r>
          </w:p>
        </w:tc>
        <w:tc>
          <w:tcPr>
            <w:tcW w:w="5814" w:type="dxa"/>
            <w:shd w:val="clear" w:color="auto" w:fill="E6E8E9"/>
          </w:tcPr>
          <w:p>
            <w:pPr>
              <w:pStyle w:val="TableParagraph"/>
              <w:spacing w:line="202" w:lineRule="exact" w:before="18"/>
              <w:ind w:left="118"/>
              <w:rPr>
                <w:sz w:val="18"/>
              </w:rPr>
            </w:pPr>
            <w:r>
              <w:rPr>
                <w:color w:val="231F20"/>
                <w:w w:val="105"/>
                <w:sz w:val="18"/>
              </w:rPr>
              <w:t>Professional background and other activities and functions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3.3</w:t>
            </w:r>
          </w:p>
        </w:tc>
        <w:tc>
          <w:tcPr>
            <w:tcW w:w="5814" w:type="dxa"/>
            <w:shd w:val="clear" w:color="auto" w:fill="E6E8E9"/>
          </w:tcPr>
          <w:p>
            <w:pPr>
              <w:pStyle w:val="TableParagraph"/>
              <w:spacing w:line="202" w:lineRule="exact" w:before="18"/>
              <w:ind w:left="118"/>
              <w:rPr>
                <w:sz w:val="18"/>
              </w:rPr>
            </w:pPr>
            <w:r>
              <w:rPr>
                <w:color w:val="231F20"/>
                <w:sz w:val="18"/>
              </w:rPr>
              <w:t>Elections and terms of office</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3.4</w:t>
            </w:r>
          </w:p>
        </w:tc>
        <w:tc>
          <w:tcPr>
            <w:tcW w:w="5814" w:type="dxa"/>
            <w:shd w:val="clear" w:color="auto" w:fill="E6E8E9"/>
          </w:tcPr>
          <w:p>
            <w:pPr>
              <w:pStyle w:val="TableParagraph"/>
              <w:spacing w:line="202" w:lineRule="exact" w:before="18"/>
              <w:ind w:left="118"/>
              <w:rPr>
                <w:sz w:val="18"/>
              </w:rPr>
            </w:pPr>
            <w:r>
              <w:rPr>
                <w:color w:val="231F20"/>
                <w:sz w:val="18"/>
              </w:rPr>
              <w:t>Internal organisational structure</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3.5</w:t>
            </w:r>
          </w:p>
        </w:tc>
        <w:tc>
          <w:tcPr>
            <w:tcW w:w="5814" w:type="dxa"/>
            <w:shd w:val="clear" w:color="auto" w:fill="E6E8E9"/>
          </w:tcPr>
          <w:p>
            <w:pPr>
              <w:pStyle w:val="TableParagraph"/>
              <w:spacing w:line="202" w:lineRule="exact" w:before="18"/>
              <w:ind w:left="118"/>
              <w:rPr>
                <w:sz w:val="18"/>
              </w:rPr>
            </w:pPr>
            <w:r>
              <w:rPr>
                <w:color w:val="231F20"/>
                <w:sz w:val="18"/>
              </w:rPr>
              <w:t>Definition of areas of responsibility</w:t>
            </w:r>
          </w:p>
        </w:tc>
      </w:tr>
      <w:tr>
        <w:trPr>
          <w:trHeight w:val="30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240" w:lineRule="auto" w:before="46"/>
              <w:ind w:left="113"/>
              <w:rPr>
                <w:sz w:val="15"/>
              </w:rPr>
            </w:pPr>
            <w:r>
              <w:rPr>
                <w:color w:val="231F20"/>
                <w:sz w:val="15"/>
              </w:rPr>
              <w:t>3.6</w:t>
            </w:r>
          </w:p>
        </w:tc>
        <w:tc>
          <w:tcPr>
            <w:tcW w:w="5814" w:type="dxa"/>
            <w:shd w:val="clear" w:color="auto" w:fill="E6E8E9"/>
          </w:tcPr>
          <w:p>
            <w:pPr>
              <w:pStyle w:val="TableParagraph"/>
              <w:spacing w:line="240" w:lineRule="auto" w:before="15"/>
              <w:ind w:left="118"/>
              <w:rPr>
                <w:sz w:val="13"/>
              </w:rPr>
            </w:pPr>
            <w:r>
              <w:rPr>
                <w:color w:val="231F20"/>
                <w:sz w:val="18"/>
              </w:rPr>
              <w:t>Information and control instruments vis-à-vis the Executive Board </w:t>
            </w:r>
            <w:r>
              <w:rPr>
                <w:color w:val="231F20"/>
                <w:position w:val="5"/>
                <w:sz w:val="13"/>
              </w:rPr>
              <w:t>(2)</w:t>
            </w:r>
          </w:p>
        </w:tc>
      </w:tr>
      <w:tr>
        <w:trPr>
          <w:trHeight w:val="300" w:hRule="atLeast"/>
        </w:trPr>
        <w:tc>
          <w:tcPr>
            <w:tcW w:w="352" w:type="dxa"/>
            <w:shd w:val="clear" w:color="auto" w:fill="E6E8E9"/>
          </w:tcPr>
          <w:p>
            <w:pPr>
              <w:pStyle w:val="TableParagraph"/>
              <w:spacing w:line="174" w:lineRule="exact" w:before="106"/>
              <w:ind w:left="50"/>
              <w:rPr>
                <w:b/>
                <w:sz w:val="15"/>
              </w:rPr>
            </w:pPr>
            <w:r>
              <w:rPr>
                <w:b/>
                <w:color w:val="586670"/>
                <w:w w:val="105"/>
                <w:sz w:val="15"/>
              </w:rPr>
              <w:t>25</w:t>
            </w:r>
          </w:p>
        </w:tc>
        <w:tc>
          <w:tcPr>
            <w:tcW w:w="448" w:type="dxa"/>
            <w:shd w:val="clear" w:color="auto" w:fill="E6E8E9"/>
          </w:tcPr>
          <w:p>
            <w:pPr>
              <w:pStyle w:val="TableParagraph"/>
              <w:spacing w:line="174" w:lineRule="exact" w:before="106"/>
              <w:ind w:left="113"/>
              <w:rPr>
                <w:sz w:val="15"/>
              </w:rPr>
            </w:pPr>
            <w:r>
              <w:rPr>
                <w:color w:val="0083CA"/>
                <w:sz w:val="15"/>
              </w:rPr>
              <w:t>4.</w:t>
            </w:r>
          </w:p>
        </w:tc>
        <w:tc>
          <w:tcPr>
            <w:tcW w:w="5814" w:type="dxa"/>
            <w:shd w:val="clear" w:color="auto" w:fill="E6E8E9"/>
          </w:tcPr>
          <w:p>
            <w:pPr>
              <w:pStyle w:val="TableParagraph"/>
              <w:spacing w:line="202" w:lineRule="exact" w:before="78"/>
              <w:ind w:left="118"/>
              <w:rPr>
                <w:sz w:val="18"/>
              </w:rPr>
            </w:pPr>
            <w:r>
              <w:rPr>
                <w:color w:val="0083CA"/>
                <w:w w:val="105"/>
                <w:sz w:val="18"/>
              </w:rPr>
              <w:t>Executive Board</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4.1</w:t>
            </w:r>
          </w:p>
        </w:tc>
        <w:tc>
          <w:tcPr>
            <w:tcW w:w="5814" w:type="dxa"/>
            <w:shd w:val="clear" w:color="auto" w:fill="E6E8E9"/>
          </w:tcPr>
          <w:p>
            <w:pPr>
              <w:pStyle w:val="TableParagraph"/>
              <w:spacing w:line="202" w:lineRule="exact" w:before="18"/>
              <w:ind w:left="118"/>
              <w:rPr>
                <w:sz w:val="18"/>
              </w:rPr>
            </w:pPr>
            <w:r>
              <w:rPr>
                <w:color w:val="231F20"/>
                <w:sz w:val="18"/>
              </w:rPr>
              <w:t>Members of the Executive Board</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4.2</w:t>
            </w:r>
          </w:p>
        </w:tc>
        <w:tc>
          <w:tcPr>
            <w:tcW w:w="5814" w:type="dxa"/>
            <w:shd w:val="clear" w:color="auto" w:fill="E6E8E9"/>
          </w:tcPr>
          <w:p>
            <w:pPr>
              <w:pStyle w:val="TableParagraph"/>
              <w:spacing w:line="202" w:lineRule="exact" w:before="18"/>
              <w:ind w:left="118"/>
              <w:rPr>
                <w:sz w:val="18"/>
              </w:rPr>
            </w:pPr>
            <w:r>
              <w:rPr>
                <w:color w:val="231F20"/>
                <w:w w:val="105"/>
                <w:sz w:val="18"/>
              </w:rPr>
              <w:t>Professional background and other activities and functions</w:t>
            </w:r>
          </w:p>
        </w:tc>
      </w:tr>
      <w:tr>
        <w:trPr>
          <w:trHeight w:val="30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240" w:lineRule="auto" w:before="46"/>
              <w:ind w:left="113"/>
              <w:rPr>
                <w:sz w:val="15"/>
              </w:rPr>
            </w:pPr>
            <w:r>
              <w:rPr>
                <w:color w:val="231F20"/>
                <w:sz w:val="15"/>
              </w:rPr>
              <w:t>4.3</w:t>
            </w:r>
          </w:p>
        </w:tc>
        <w:tc>
          <w:tcPr>
            <w:tcW w:w="5814" w:type="dxa"/>
            <w:shd w:val="clear" w:color="auto" w:fill="E6E8E9"/>
          </w:tcPr>
          <w:p>
            <w:pPr>
              <w:pStyle w:val="TableParagraph"/>
              <w:spacing w:line="240" w:lineRule="auto" w:before="18"/>
              <w:ind w:left="118"/>
              <w:rPr>
                <w:sz w:val="18"/>
              </w:rPr>
            </w:pPr>
            <w:r>
              <w:rPr>
                <w:color w:val="231F20"/>
                <w:w w:val="105"/>
                <w:sz w:val="18"/>
              </w:rPr>
              <w:t>Management contracts</w:t>
            </w:r>
          </w:p>
        </w:tc>
      </w:tr>
      <w:tr>
        <w:trPr>
          <w:trHeight w:val="360" w:hRule="atLeast"/>
        </w:trPr>
        <w:tc>
          <w:tcPr>
            <w:tcW w:w="352" w:type="dxa"/>
            <w:shd w:val="clear" w:color="auto" w:fill="E6E8E9"/>
          </w:tcPr>
          <w:p>
            <w:pPr>
              <w:pStyle w:val="TableParagraph"/>
              <w:spacing w:line="240" w:lineRule="auto" w:before="106"/>
              <w:ind w:left="50"/>
              <w:rPr>
                <w:b/>
                <w:sz w:val="15"/>
              </w:rPr>
            </w:pPr>
            <w:r>
              <w:rPr>
                <w:b/>
                <w:color w:val="586670"/>
                <w:w w:val="105"/>
                <w:sz w:val="15"/>
              </w:rPr>
              <w:t>29</w:t>
            </w:r>
          </w:p>
        </w:tc>
        <w:tc>
          <w:tcPr>
            <w:tcW w:w="448" w:type="dxa"/>
            <w:shd w:val="clear" w:color="auto" w:fill="E6E8E9"/>
          </w:tcPr>
          <w:p>
            <w:pPr>
              <w:pStyle w:val="TableParagraph"/>
              <w:spacing w:line="240" w:lineRule="auto" w:before="106"/>
              <w:ind w:left="113"/>
              <w:rPr>
                <w:sz w:val="15"/>
              </w:rPr>
            </w:pPr>
            <w:r>
              <w:rPr>
                <w:color w:val="0083CA"/>
                <w:sz w:val="15"/>
              </w:rPr>
              <w:t>5.</w:t>
            </w:r>
          </w:p>
        </w:tc>
        <w:tc>
          <w:tcPr>
            <w:tcW w:w="5814" w:type="dxa"/>
            <w:shd w:val="clear" w:color="auto" w:fill="E6E8E9"/>
          </w:tcPr>
          <w:p>
            <w:pPr>
              <w:pStyle w:val="TableParagraph"/>
              <w:spacing w:line="240" w:lineRule="auto" w:before="78"/>
              <w:ind w:left="118"/>
              <w:rPr>
                <w:sz w:val="18"/>
              </w:rPr>
            </w:pPr>
            <w:r>
              <w:rPr>
                <w:color w:val="0083CA"/>
                <w:w w:val="105"/>
                <w:sz w:val="18"/>
              </w:rPr>
              <w:t>Compensation, shareholdings and loans</w:t>
            </w:r>
          </w:p>
        </w:tc>
      </w:tr>
      <w:tr>
        <w:trPr>
          <w:trHeight w:val="300" w:hRule="atLeast"/>
        </w:trPr>
        <w:tc>
          <w:tcPr>
            <w:tcW w:w="352" w:type="dxa"/>
            <w:shd w:val="clear" w:color="auto" w:fill="E6E8E9"/>
          </w:tcPr>
          <w:p>
            <w:pPr>
              <w:pStyle w:val="TableParagraph"/>
              <w:spacing w:line="174" w:lineRule="exact" w:before="106"/>
              <w:ind w:left="50"/>
              <w:rPr>
                <w:b/>
                <w:sz w:val="15"/>
              </w:rPr>
            </w:pPr>
            <w:r>
              <w:rPr>
                <w:b/>
                <w:color w:val="586670"/>
                <w:w w:val="105"/>
                <w:sz w:val="15"/>
              </w:rPr>
              <w:t>30</w:t>
            </w:r>
          </w:p>
        </w:tc>
        <w:tc>
          <w:tcPr>
            <w:tcW w:w="448" w:type="dxa"/>
            <w:shd w:val="clear" w:color="auto" w:fill="E6E8E9"/>
          </w:tcPr>
          <w:p>
            <w:pPr>
              <w:pStyle w:val="TableParagraph"/>
              <w:spacing w:line="174" w:lineRule="exact" w:before="106"/>
              <w:ind w:left="113"/>
              <w:rPr>
                <w:sz w:val="15"/>
              </w:rPr>
            </w:pPr>
            <w:r>
              <w:rPr>
                <w:color w:val="0083CA"/>
                <w:sz w:val="15"/>
              </w:rPr>
              <w:t>6.</w:t>
            </w:r>
          </w:p>
        </w:tc>
        <w:tc>
          <w:tcPr>
            <w:tcW w:w="5814" w:type="dxa"/>
            <w:shd w:val="clear" w:color="auto" w:fill="E6E8E9"/>
          </w:tcPr>
          <w:p>
            <w:pPr>
              <w:pStyle w:val="TableParagraph"/>
              <w:spacing w:line="202" w:lineRule="exact" w:before="78"/>
              <w:ind w:left="118"/>
              <w:rPr>
                <w:sz w:val="18"/>
              </w:rPr>
            </w:pPr>
            <w:r>
              <w:rPr>
                <w:color w:val="0083CA"/>
                <w:w w:val="131"/>
                <w:sz w:val="18"/>
              </w:rPr>
              <w:t>S</w:t>
            </w:r>
            <w:r>
              <w:rPr>
                <w:color w:val="0083CA"/>
                <w:spacing w:val="1"/>
                <w:w w:val="108"/>
                <w:sz w:val="18"/>
              </w:rPr>
              <w:t>h</w:t>
            </w:r>
            <w:r>
              <w:rPr>
                <w:color w:val="0083CA"/>
                <w:spacing w:val="-1"/>
                <w:w w:val="101"/>
                <w:sz w:val="18"/>
              </w:rPr>
              <w:t>a</w:t>
            </w:r>
            <w:r>
              <w:rPr>
                <w:color w:val="0083CA"/>
                <w:w w:val="90"/>
                <w:sz w:val="18"/>
              </w:rPr>
              <w:t>r</w:t>
            </w:r>
            <w:r>
              <w:rPr>
                <w:color w:val="0083CA"/>
                <w:spacing w:val="1"/>
                <w:w w:val="100"/>
                <w:sz w:val="18"/>
              </w:rPr>
              <w:t>e</w:t>
            </w:r>
            <w:r>
              <w:rPr>
                <w:color w:val="0083CA"/>
                <w:w w:val="108"/>
                <w:sz w:val="18"/>
              </w:rPr>
              <w:t>h</w:t>
            </w:r>
            <w:r>
              <w:rPr>
                <w:color w:val="0083CA"/>
                <w:spacing w:val="1"/>
                <w:w w:val="108"/>
                <w:sz w:val="18"/>
              </w:rPr>
              <w:t>o</w:t>
            </w:r>
            <w:r>
              <w:rPr>
                <w:color w:val="0083CA"/>
                <w:spacing w:val="1"/>
                <w:w w:val="81"/>
                <w:sz w:val="18"/>
              </w:rPr>
              <w:t>l</w:t>
            </w:r>
            <w:r>
              <w:rPr>
                <w:color w:val="0083CA"/>
                <w:spacing w:val="1"/>
                <w:w w:val="107"/>
                <w:sz w:val="18"/>
              </w:rPr>
              <w:t>d</w:t>
            </w:r>
            <w:r>
              <w:rPr>
                <w:color w:val="0083CA"/>
                <w:spacing w:val="1"/>
                <w:w w:val="100"/>
                <w:sz w:val="18"/>
              </w:rPr>
              <w:t>e</w:t>
            </w:r>
            <w:r>
              <w:rPr>
                <w:color w:val="0083CA"/>
                <w:spacing w:val="3"/>
                <w:w w:val="90"/>
                <w:sz w:val="18"/>
              </w:rPr>
              <w:t>r</w:t>
            </w:r>
            <w:r>
              <w:rPr>
                <w:color w:val="0083CA"/>
                <w:spacing w:val="-3"/>
                <w:w w:val="121"/>
                <w:sz w:val="18"/>
              </w:rPr>
              <w:t>s</w:t>
            </w:r>
            <w:r>
              <w:rPr>
                <w:color w:val="0083CA"/>
                <w:w w:val="64"/>
                <w:sz w:val="18"/>
              </w:rPr>
              <w:t>’</w:t>
            </w:r>
            <w:r>
              <w:rPr>
                <w:color w:val="0083CA"/>
                <w:spacing w:val="-8"/>
                <w:sz w:val="18"/>
              </w:rPr>
              <w:t> </w:t>
            </w:r>
            <w:r>
              <w:rPr>
                <w:color w:val="0083CA"/>
                <w:spacing w:val="3"/>
                <w:w w:val="107"/>
                <w:sz w:val="18"/>
              </w:rPr>
              <w:t>p</w:t>
            </w:r>
            <w:r>
              <w:rPr>
                <w:color w:val="0083CA"/>
                <w:spacing w:val="-1"/>
                <w:w w:val="101"/>
                <w:sz w:val="18"/>
              </w:rPr>
              <w:t>a</w:t>
            </w:r>
            <w:r>
              <w:rPr>
                <w:color w:val="0083CA"/>
                <w:spacing w:val="8"/>
                <w:w w:val="90"/>
                <w:sz w:val="18"/>
              </w:rPr>
              <w:t>r</w:t>
            </w:r>
            <w:r>
              <w:rPr>
                <w:color w:val="0083CA"/>
                <w:w w:val="94"/>
                <w:sz w:val="18"/>
              </w:rPr>
              <w:t>ti</w:t>
            </w:r>
            <w:r>
              <w:rPr>
                <w:color w:val="0083CA"/>
                <w:spacing w:val="2"/>
                <w:w w:val="94"/>
                <w:sz w:val="18"/>
              </w:rPr>
              <w:t>c</w:t>
            </w:r>
            <w:r>
              <w:rPr>
                <w:color w:val="0083CA"/>
                <w:spacing w:val="-1"/>
                <w:w w:val="83"/>
                <w:sz w:val="18"/>
              </w:rPr>
              <w:t>i</w:t>
            </w:r>
            <w:r>
              <w:rPr>
                <w:color w:val="0083CA"/>
                <w:spacing w:val="3"/>
                <w:w w:val="107"/>
                <w:sz w:val="18"/>
              </w:rPr>
              <w:t>p</w:t>
            </w:r>
            <w:r>
              <w:rPr>
                <w:color w:val="0083CA"/>
                <w:spacing w:val="-1"/>
                <w:w w:val="101"/>
                <w:sz w:val="18"/>
              </w:rPr>
              <w:t>a</w:t>
            </w:r>
            <w:r>
              <w:rPr>
                <w:color w:val="0083CA"/>
                <w:w w:val="95"/>
                <w:sz w:val="18"/>
              </w:rPr>
              <w:t>ti</w:t>
            </w:r>
            <w:r>
              <w:rPr>
                <w:color w:val="0083CA"/>
                <w:spacing w:val="1"/>
                <w:w w:val="95"/>
                <w:sz w:val="18"/>
              </w:rPr>
              <w:t>o</w:t>
            </w:r>
            <w:r>
              <w:rPr>
                <w:color w:val="0083CA"/>
                <w:w w:val="108"/>
                <w:sz w:val="18"/>
              </w:rPr>
              <w:t>n</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6.1</w:t>
            </w:r>
          </w:p>
        </w:tc>
        <w:tc>
          <w:tcPr>
            <w:tcW w:w="5814" w:type="dxa"/>
            <w:shd w:val="clear" w:color="auto" w:fill="E6E8E9"/>
          </w:tcPr>
          <w:p>
            <w:pPr>
              <w:pStyle w:val="TableParagraph"/>
              <w:spacing w:line="202" w:lineRule="exact" w:before="18"/>
              <w:ind w:left="118"/>
              <w:rPr>
                <w:sz w:val="18"/>
              </w:rPr>
            </w:pPr>
            <w:r>
              <w:rPr>
                <w:color w:val="231F20"/>
                <w:sz w:val="18"/>
              </w:rPr>
              <w:t>Voting rights and representation restrictions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6.2</w:t>
            </w:r>
          </w:p>
        </w:tc>
        <w:tc>
          <w:tcPr>
            <w:tcW w:w="5814" w:type="dxa"/>
            <w:shd w:val="clear" w:color="auto" w:fill="E6E8E9"/>
          </w:tcPr>
          <w:p>
            <w:pPr>
              <w:pStyle w:val="TableParagraph"/>
              <w:spacing w:line="202" w:lineRule="exact" w:before="18"/>
              <w:ind w:left="118"/>
              <w:rPr>
                <w:sz w:val="18"/>
              </w:rPr>
            </w:pPr>
            <w:r>
              <w:rPr>
                <w:color w:val="231F20"/>
                <w:w w:val="105"/>
                <w:sz w:val="18"/>
              </w:rPr>
              <w:t>Statutory quorums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6.3</w:t>
            </w:r>
          </w:p>
        </w:tc>
        <w:tc>
          <w:tcPr>
            <w:tcW w:w="5814" w:type="dxa"/>
            <w:shd w:val="clear" w:color="auto" w:fill="E6E8E9"/>
          </w:tcPr>
          <w:p>
            <w:pPr>
              <w:pStyle w:val="TableParagraph"/>
              <w:spacing w:line="202" w:lineRule="exact" w:before="18"/>
              <w:ind w:left="118"/>
              <w:rPr>
                <w:sz w:val="18"/>
              </w:rPr>
            </w:pPr>
            <w:r>
              <w:rPr>
                <w:color w:val="231F20"/>
                <w:sz w:val="18"/>
              </w:rPr>
              <w:t>Convocation of the General Meeting of shareholders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6.4</w:t>
            </w:r>
          </w:p>
        </w:tc>
        <w:tc>
          <w:tcPr>
            <w:tcW w:w="5814" w:type="dxa"/>
            <w:shd w:val="clear" w:color="auto" w:fill="E6E8E9"/>
          </w:tcPr>
          <w:p>
            <w:pPr>
              <w:pStyle w:val="TableParagraph"/>
              <w:spacing w:line="202" w:lineRule="exact" w:before="18"/>
              <w:ind w:left="118"/>
              <w:rPr>
                <w:sz w:val="18"/>
              </w:rPr>
            </w:pPr>
            <w:r>
              <w:rPr>
                <w:color w:val="231F20"/>
                <w:w w:val="105"/>
                <w:sz w:val="18"/>
              </w:rPr>
              <w:t>Inclusion of item on the agenda</w:t>
            </w:r>
          </w:p>
        </w:tc>
      </w:tr>
      <w:tr>
        <w:trPr>
          <w:trHeight w:val="30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240" w:lineRule="auto" w:before="46"/>
              <w:ind w:left="113"/>
              <w:rPr>
                <w:sz w:val="15"/>
              </w:rPr>
            </w:pPr>
            <w:r>
              <w:rPr>
                <w:color w:val="231F20"/>
                <w:sz w:val="15"/>
              </w:rPr>
              <w:t>6.5</w:t>
            </w:r>
          </w:p>
        </w:tc>
        <w:tc>
          <w:tcPr>
            <w:tcW w:w="5814" w:type="dxa"/>
            <w:shd w:val="clear" w:color="auto" w:fill="E6E8E9"/>
          </w:tcPr>
          <w:p>
            <w:pPr>
              <w:pStyle w:val="TableParagraph"/>
              <w:spacing w:line="240" w:lineRule="auto" w:before="18"/>
              <w:ind w:left="118"/>
              <w:rPr>
                <w:sz w:val="18"/>
              </w:rPr>
            </w:pPr>
            <w:r>
              <w:rPr>
                <w:color w:val="231F20"/>
                <w:sz w:val="18"/>
              </w:rPr>
              <w:t>Inscriptions into the share register</w:t>
            </w:r>
          </w:p>
        </w:tc>
      </w:tr>
      <w:tr>
        <w:trPr>
          <w:trHeight w:val="300" w:hRule="atLeast"/>
        </w:trPr>
        <w:tc>
          <w:tcPr>
            <w:tcW w:w="352" w:type="dxa"/>
            <w:shd w:val="clear" w:color="auto" w:fill="E6E8E9"/>
          </w:tcPr>
          <w:p>
            <w:pPr>
              <w:pStyle w:val="TableParagraph"/>
              <w:spacing w:line="174" w:lineRule="exact" w:before="106"/>
              <w:ind w:left="50"/>
              <w:rPr>
                <w:b/>
                <w:sz w:val="15"/>
              </w:rPr>
            </w:pPr>
            <w:r>
              <w:rPr>
                <w:b/>
                <w:color w:val="586670"/>
                <w:w w:val="105"/>
                <w:sz w:val="15"/>
              </w:rPr>
              <w:t>31</w:t>
            </w:r>
          </w:p>
        </w:tc>
        <w:tc>
          <w:tcPr>
            <w:tcW w:w="448" w:type="dxa"/>
            <w:shd w:val="clear" w:color="auto" w:fill="E6E8E9"/>
          </w:tcPr>
          <w:p>
            <w:pPr>
              <w:pStyle w:val="TableParagraph"/>
              <w:spacing w:line="174" w:lineRule="exact" w:before="106"/>
              <w:ind w:left="113"/>
              <w:rPr>
                <w:sz w:val="15"/>
              </w:rPr>
            </w:pPr>
            <w:r>
              <w:rPr>
                <w:color w:val="0083CA"/>
                <w:sz w:val="15"/>
              </w:rPr>
              <w:t>7.</w:t>
            </w:r>
          </w:p>
        </w:tc>
        <w:tc>
          <w:tcPr>
            <w:tcW w:w="5814" w:type="dxa"/>
            <w:shd w:val="clear" w:color="auto" w:fill="E6E8E9"/>
          </w:tcPr>
          <w:p>
            <w:pPr>
              <w:pStyle w:val="TableParagraph"/>
              <w:spacing w:line="202" w:lineRule="exact" w:before="78"/>
              <w:ind w:left="118"/>
              <w:rPr>
                <w:sz w:val="18"/>
              </w:rPr>
            </w:pPr>
            <w:r>
              <w:rPr>
                <w:color w:val="0083CA"/>
                <w:w w:val="105"/>
                <w:sz w:val="18"/>
              </w:rPr>
              <w:t>Change of control and defence measures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7.1</w:t>
            </w:r>
          </w:p>
        </w:tc>
        <w:tc>
          <w:tcPr>
            <w:tcW w:w="5814" w:type="dxa"/>
            <w:shd w:val="clear" w:color="auto" w:fill="E6E8E9"/>
          </w:tcPr>
          <w:p>
            <w:pPr>
              <w:pStyle w:val="TableParagraph"/>
              <w:spacing w:line="202" w:lineRule="exact" w:before="18"/>
              <w:ind w:left="118"/>
              <w:rPr>
                <w:sz w:val="18"/>
              </w:rPr>
            </w:pPr>
            <w:r>
              <w:rPr>
                <w:color w:val="231F20"/>
                <w:sz w:val="18"/>
              </w:rPr>
              <w:t>Duty to make an offer</w:t>
            </w:r>
          </w:p>
        </w:tc>
      </w:tr>
      <w:tr>
        <w:trPr>
          <w:trHeight w:val="30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240" w:lineRule="auto" w:before="46"/>
              <w:ind w:left="113"/>
              <w:rPr>
                <w:sz w:val="15"/>
              </w:rPr>
            </w:pPr>
            <w:r>
              <w:rPr>
                <w:color w:val="231F20"/>
                <w:sz w:val="15"/>
              </w:rPr>
              <w:t>7.2</w:t>
            </w:r>
          </w:p>
        </w:tc>
        <w:tc>
          <w:tcPr>
            <w:tcW w:w="5814" w:type="dxa"/>
            <w:shd w:val="clear" w:color="auto" w:fill="E6E8E9"/>
          </w:tcPr>
          <w:p>
            <w:pPr>
              <w:pStyle w:val="TableParagraph"/>
              <w:spacing w:line="240" w:lineRule="auto" w:before="18"/>
              <w:ind w:left="118"/>
              <w:rPr>
                <w:sz w:val="18"/>
              </w:rPr>
            </w:pPr>
            <w:r>
              <w:rPr>
                <w:color w:val="231F20"/>
                <w:w w:val="105"/>
                <w:sz w:val="18"/>
              </w:rPr>
              <w:t>Clauses on change of control</w:t>
            </w:r>
          </w:p>
        </w:tc>
      </w:tr>
      <w:tr>
        <w:trPr>
          <w:trHeight w:val="300" w:hRule="atLeast"/>
        </w:trPr>
        <w:tc>
          <w:tcPr>
            <w:tcW w:w="352" w:type="dxa"/>
            <w:shd w:val="clear" w:color="auto" w:fill="E6E8E9"/>
          </w:tcPr>
          <w:p>
            <w:pPr>
              <w:pStyle w:val="TableParagraph"/>
              <w:spacing w:line="174" w:lineRule="exact" w:before="106"/>
              <w:ind w:left="50"/>
              <w:rPr>
                <w:b/>
                <w:sz w:val="15"/>
              </w:rPr>
            </w:pPr>
            <w:r>
              <w:rPr>
                <w:b/>
                <w:color w:val="586670"/>
                <w:w w:val="105"/>
                <w:sz w:val="15"/>
              </w:rPr>
              <w:t>32</w:t>
            </w:r>
          </w:p>
        </w:tc>
        <w:tc>
          <w:tcPr>
            <w:tcW w:w="448" w:type="dxa"/>
            <w:shd w:val="clear" w:color="auto" w:fill="E6E8E9"/>
          </w:tcPr>
          <w:p>
            <w:pPr>
              <w:pStyle w:val="TableParagraph"/>
              <w:spacing w:line="174" w:lineRule="exact" w:before="106"/>
              <w:ind w:left="113"/>
              <w:rPr>
                <w:sz w:val="15"/>
              </w:rPr>
            </w:pPr>
            <w:r>
              <w:rPr>
                <w:color w:val="0083CA"/>
                <w:sz w:val="15"/>
              </w:rPr>
              <w:t>8.</w:t>
            </w:r>
          </w:p>
        </w:tc>
        <w:tc>
          <w:tcPr>
            <w:tcW w:w="5814" w:type="dxa"/>
            <w:shd w:val="clear" w:color="auto" w:fill="E6E8E9"/>
          </w:tcPr>
          <w:p>
            <w:pPr>
              <w:pStyle w:val="TableParagraph"/>
              <w:spacing w:line="202" w:lineRule="exact" w:before="78"/>
              <w:ind w:left="118"/>
              <w:rPr>
                <w:sz w:val="18"/>
              </w:rPr>
            </w:pPr>
            <w:r>
              <w:rPr>
                <w:color w:val="0083CA"/>
                <w:w w:val="105"/>
                <w:sz w:val="18"/>
              </w:rPr>
              <w:t>Auditors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8.1</w:t>
            </w:r>
          </w:p>
        </w:tc>
        <w:tc>
          <w:tcPr>
            <w:tcW w:w="5814" w:type="dxa"/>
            <w:shd w:val="clear" w:color="auto" w:fill="E6E8E9"/>
          </w:tcPr>
          <w:p>
            <w:pPr>
              <w:pStyle w:val="TableParagraph"/>
              <w:spacing w:line="202" w:lineRule="exact" w:before="18"/>
              <w:ind w:left="118"/>
              <w:rPr>
                <w:sz w:val="18"/>
              </w:rPr>
            </w:pPr>
            <w:r>
              <w:rPr>
                <w:color w:val="231F20"/>
                <w:sz w:val="18"/>
              </w:rPr>
              <w:t>Duration of the mandate and term of office of the lead auditor</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8.2</w:t>
            </w:r>
          </w:p>
        </w:tc>
        <w:tc>
          <w:tcPr>
            <w:tcW w:w="5814" w:type="dxa"/>
            <w:shd w:val="clear" w:color="auto" w:fill="E6E8E9"/>
          </w:tcPr>
          <w:p>
            <w:pPr>
              <w:pStyle w:val="TableParagraph"/>
              <w:spacing w:line="202" w:lineRule="exact" w:before="18"/>
              <w:ind w:left="118"/>
              <w:rPr>
                <w:sz w:val="18"/>
              </w:rPr>
            </w:pPr>
            <w:r>
              <w:rPr>
                <w:color w:val="231F20"/>
                <w:w w:val="105"/>
                <w:sz w:val="18"/>
              </w:rPr>
              <w:t>Auditing fees</w:t>
            </w:r>
          </w:p>
        </w:tc>
      </w:tr>
      <w:tr>
        <w:trPr>
          <w:trHeight w:val="24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174" w:lineRule="exact" w:before="46"/>
              <w:ind w:left="113"/>
              <w:rPr>
                <w:sz w:val="15"/>
              </w:rPr>
            </w:pPr>
            <w:r>
              <w:rPr>
                <w:color w:val="231F20"/>
                <w:sz w:val="15"/>
              </w:rPr>
              <w:t>8.3</w:t>
            </w:r>
          </w:p>
        </w:tc>
        <w:tc>
          <w:tcPr>
            <w:tcW w:w="5814" w:type="dxa"/>
            <w:shd w:val="clear" w:color="auto" w:fill="E6E8E9"/>
          </w:tcPr>
          <w:p>
            <w:pPr>
              <w:pStyle w:val="TableParagraph"/>
              <w:spacing w:line="202" w:lineRule="exact" w:before="18"/>
              <w:ind w:left="118"/>
              <w:rPr>
                <w:sz w:val="18"/>
              </w:rPr>
            </w:pPr>
            <w:r>
              <w:rPr>
                <w:color w:val="231F20"/>
                <w:sz w:val="18"/>
              </w:rPr>
              <w:t>Additional fees</w:t>
            </w:r>
          </w:p>
        </w:tc>
      </w:tr>
      <w:tr>
        <w:trPr>
          <w:trHeight w:val="300" w:hRule="atLeast"/>
        </w:trPr>
        <w:tc>
          <w:tcPr>
            <w:tcW w:w="352" w:type="dxa"/>
            <w:shd w:val="clear" w:color="auto" w:fill="E6E8E9"/>
          </w:tcPr>
          <w:p>
            <w:pPr>
              <w:pStyle w:val="TableParagraph"/>
              <w:spacing w:line="240" w:lineRule="auto" w:before="0"/>
              <w:rPr>
                <w:rFonts w:ascii="Times New Roman"/>
                <w:sz w:val="16"/>
              </w:rPr>
            </w:pPr>
          </w:p>
        </w:tc>
        <w:tc>
          <w:tcPr>
            <w:tcW w:w="448" w:type="dxa"/>
            <w:shd w:val="clear" w:color="auto" w:fill="E6E8E9"/>
          </w:tcPr>
          <w:p>
            <w:pPr>
              <w:pStyle w:val="TableParagraph"/>
              <w:spacing w:line="240" w:lineRule="auto" w:before="46"/>
              <w:ind w:left="113"/>
              <w:rPr>
                <w:sz w:val="15"/>
              </w:rPr>
            </w:pPr>
            <w:r>
              <w:rPr>
                <w:color w:val="231F20"/>
                <w:sz w:val="15"/>
              </w:rPr>
              <w:t>8.4</w:t>
            </w:r>
          </w:p>
        </w:tc>
        <w:tc>
          <w:tcPr>
            <w:tcW w:w="5814" w:type="dxa"/>
            <w:shd w:val="clear" w:color="auto" w:fill="E6E8E9"/>
          </w:tcPr>
          <w:p>
            <w:pPr>
              <w:pStyle w:val="TableParagraph"/>
              <w:spacing w:line="240" w:lineRule="auto" w:before="18"/>
              <w:ind w:left="118"/>
              <w:rPr>
                <w:sz w:val="18"/>
              </w:rPr>
            </w:pPr>
            <w:r>
              <w:rPr>
                <w:color w:val="231F20"/>
                <w:sz w:val="18"/>
              </w:rPr>
              <w:t>Information instruments pertaining to the external audit</w:t>
            </w:r>
          </w:p>
        </w:tc>
      </w:tr>
      <w:tr>
        <w:trPr>
          <w:trHeight w:val="360" w:hRule="atLeast"/>
        </w:trPr>
        <w:tc>
          <w:tcPr>
            <w:tcW w:w="352" w:type="dxa"/>
            <w:shd w:val="clear" w:color="auto" w:fill="E6E8E9"/>
          </w:tcPr>
          <w:p>
            <w:pPr>
              <w:pStyle w:val="TableParagraph"/>
              <w:spacing w:line="240" w:lineRule="auto" w:before="106"/>
              <w:ind w:left="50"/>
              <w:rPr>
                <w:b/>
                <w:sz w:val="15"/>
              </w:rPr>
            </w:pPr>
            <w:r>
              <w:rPr>
                <w:b/>
                <w:color w:val="586670"/>
                <w:w w:val="105"/>
                <w:sz w:val="15"/>
              </w:rPr>
              <w:t>33</w:t>
            </w:r>
          </w:p>
        </w:tc>
        <w:tc>
          <w:tcPr>
            <w:tcW w:w="448" w:type="dxa"/>
            <w:shd w:val="clear" w:color="auto" w:fill="E6E8E9"/>
          </w:tcPr>
          <w:p>
            <w:pPr>
              <w:pStyle w:val="TableParagraph"/>
              <w:spacing w:line="240" w:lineRule="auto" w:before="106"/>
              <w:ind w:left="113"/>
              <w:rPr>
                <w:sz w:val="15"/>
              </w:rPr>
            </w:pPr>
            <w:r>
              <w:rPr>
                <w:color w:val="0083CA"/>
                <w:sz w:val="15"/>
              </w:rPr>
              <w:t>9.</w:t>
            </w:r>
          </w:p>
        </w:tc>
        <w:tc>
          <w:tcPr>
            <w:tcW w:w="5814" w:type="dxa"/>
            <w:shd w:val="clear" w:color="auto" w:fill="E6E8E9"/>
          </w:tcPr>
          <w:p>
            <w:pPr>
              <w:pStyle w:val="TableParagraph"/>
              <w:spacing w:line="240" w:lineRule="auto" w:before="78"/>
              <w:ind w:left="118"/>
              <w:rPr>
                <w:sz w:val="18"/>
              </w:rPr>
            </w:pPr>
            <w:r>
              <w:rPr>
                <w:color w:val="0083CA"/>
                <w:sz w:val="18"/>
              </w:rPr>
              <w:t>Information policy</w:t>
            </w:r>
          </w:p>
        </w:tc>
      </w:tr>
      <w:tr>
        <w:trPr>
          <w:trHeight w:val="300" w:hRule="atLeast"/>
        </w:trPr>
        <w:tc>
          <w:tcPr>
            <w:tcW w:w="352" w:type="dxa"/>
            <w:shd w:val="clear" w:color="auto" w:fill="E6E8E9"/>
          </w:tcPr>
          <w:p>
            <w:pPr>
              <w:pStyle w:val="TableParagraph"/>
              <w:spacing w:line="174" w:lineRule="exact" w:before="106"/>
              <w:ind w:left="50"/>
              <w:rPr>
                <w:b/>
                <w:sz w:val="15"/>
              </w:rPr>
            </w:pPr>
            <w:r>
              <w:rPr>
                <w:b/>
                <w:color w:val="586670"/>
                <w:w w:val="105"/>
                <w:sz w:val="15"/>
              </w:rPr>
              <w:t>34</w:t>
            </w:r>
          </w:p>
        </w:tc>
        <w:tc>
          <w:tcPr>
            <w:tcW w:w="448" w:type="dxa"/>
            <w:shd w:val="clear" w:color="auto" w:fill="E6E8E9"/>
          </w:tcPr>
          <w:p>
            <w:pPr>
              <w:pStyle w:val="TableParagraph"/>
              <w:spacing w:line="240" w:lineRule="auto" w:before="0"/>
              <w:rPr>
                <w:rFonts w:ascii="Times New Roman"/>
                <w:sz w:val="16"/>
              </w:rPr>
            </w:pPr>
          </w:p>
        </w:tc>
        <w:tc>
          <w:tcPr>
            <w:tcW w:w="5814" w:type="dxa"/>
            <w:shd w:val="clear" w:color="auto" w:fill="E6E8E9"/>
          </w:tcPr>
          <w:p>
            <w:pPr>
              <w:pStyle w:val="TableParagraph"/>
              <w:spacing w:line="202" w:lineRule="exact" w:before="78"/>
              <w:ind w:left="118"/>
              <w:rPr>
                <w:sz w:val="18"/>
              </w:rPr>
            </w:pPr>
            <w:r>
              <w:rPr>
                <w:color w:val="0083CA"/>
                <w:sz w:val="18"/>
              </w:rPr>
              <w:t>General Organisation of Nestlé S.A.</w:t>
            </w:r>
          </w:p>
        </w:tc>
      </w:tr>
      <w:tr>
        <w:trPr>
          <w:trHeight w:val="239" w:hRule="atLeast"/>
        </w:trPr>
        <w:tc>
          <w:tcPr>
            <w:tcW w:w="352" w:type="dxa"/>
            <w:shd w:val="clear" w:color="auto" w:fill="E6E8E9"/>
          </w:tcPr>
          <w:p>
            <w:pPr>
              <w:pStyle w:val="TableParagraph"/>
              <w:spacing w:line="174" w:lineRule="exact" w:before="46"/>
              <w:ind w:left="50"/>
              <w:rPr>
                <w:b/>
                <w:sz w:val="15"/>
              </w:rPr>
            </w:pPr>
            <w:r>
              <w:rPr>
                <w:b/>
                <w:color w:val="586670"/>
                <w:w w:val="105"/>
                <w:sz w:val="15"/>
              </w:rPr>
              <w:t>35</w:t>
            </w:r>
          </w:p>
        </w:tc>
        <w:tc>
          <w:tcPr>
            <w:tcW w:w="448" w:type="dxa"/>
            <w:shd w:val="clear" w:color="auto" w:fill="E6E8E9"/>
          </w:tcPr>
          <w:p>
            <w:pPr>
              <w:pStyle w:val="TableParagraph"/>
              <w:spacing w:line="240" w:lineRule="auto" w:before="0"/>
              <w:rPr>
                <w:rFonts w:ascii="Times New Roman"/>
                <w:sz w:val="16"/>
              </w:rPr>
            </w:pPr>
          </w:p>
        </w:tc>
        <w:tc>
          <w:tcPr>
            <w:tcW w:w="5814" w:type="dxa"/>
            <w:shd w:val="clear" w:color="auto" w:fill="E6E8E9"/>
          </w:tcPr>
          <w:p>
            <w:pPr>
              <w:pStyle w:val="TableParagraph"/>
              <w:spacing w:line="202" w:lineRule="exact" w:before="18"/>
              <w:ind w:left="118"/>
              <w:rPr>
                <w:sz w:val="18"/>
              </w:rPr>
            </w:pPr>
            <w:r>
              <w:rPr>
                <w:color w:val="0083CA"/>
                <w:w w:val="105"/>
                <w:sz w:val="18"/>
              </w:rPr>
              <w:t>Compensation Report 2013</w:t>
            </w:r>
          </w:p>
        </w:tc>
      </w:tr>
      <w:tr>
        <w:trPr>
          <w:trHeight w:val="227" w:hRule="atLeast"/>
        </w:trPr>
        <w:tc>
          <w:tcPr>
            <w:tcW w:w="352" w:type="dxa"/>
            <w:shd w:val="clear" w:color="auto" w:fill="E6E8E9"/>
          </w:tcPr>
          <w:p>
            <w:pPr>
              <w:pStyle w:val="TableParagraph"/>
              <w:spacing w:line="161" w:lineRule="exact" w:before="46"/>
              <w:ind w:left="50"/>
              <w:rPr>
                <w:b/>
                <w:sz w:val="15"/>
              </w:rPr>
            </w:pPr>
            <w:r>
              <w:rPr>
                <w:b/>
                <w:color w:val="586670"/>
                <w:w w:val="105"/>
                <w:sz w:val="15"/>
              </w:rPr>
              <w:t>47</w:t>
            </w:r>
          </w:p>
        </w:tc>
        <w:tc>
          <w:tcPr>
            <w:tcW w:w="448" w:type="dxa"/>
            <w:shd w:val="clear" w:color="auto" w:fill="E6E8E9"/>
          </w:tcPr>
          <w:p>
            <w:pPr>
              <w:pStyle w:val="TableParagraph"/>
              <w:spacing w:line="240" w:lineRule="auto" w:before="0"/>
              <w:rPr>
                <w:rFonts w:ascii="Times New Roman"/>
                <w:sz w:val="16"/>
              </w:rPr>
            </w:pPr>
          </w:p>
        </w:tc>
        <w:tc>
          <w:tcPr>
            <w:tcW w:w="5814" w:type="dxa"/>
            <w:shd w:val="clear" w:color="auto" w:fill="E6E8E9"/>
          </w:tcPr>
          <w:p>
            <w:pPr>
              <w:pStyle w:val="TableParagraph"/>
              <w:spacing w:line="189" w:lineRule="exact" w:before="18"/>
              <w:ind w:left="118"/>
              <w:rPr>
                <w:sz w:val="18"/>
              </w:rPr>
            </w:pPr>
            <w:r>
              <w:rPr>
                <w:color w:val="0083CA"/>
                <w:sz w:val="18"/>
              </w:rPr>
              <w:t>Articles of Association of Nestlé S.A.</w:t>
            </w:r>
          </w:p>
        </w:tc>
      </w:tr>
    </w:tbl>
    <w:p>
      <w:pPr>
        <w:pStyle w:val="BodyText"/>
        <w:spacing w:before="6"/>
        <w:rPr>
          <w:b/>
          <w:sz w:val="13"/>
        </w:rPr>
      </w:pPr>
    </w:p>
    <w:p>
      <w:pPr>
        <w:pStyle w:val="ListParagraph"/>
        <w:numPr>
          <w:ilvl w:val="0"/>
          <w:numId w:val="1"/>
        </w:numPr>
        <w:tabs>
          <w:tab w:pos="1213" w:val="left" w:leader="none"/>
        </w:tabs>
        <w:spacing w:line="240" w:lineRule="auto" w:before="0" w:after="0"/>
        <w:ind w:left="1212" w:right="0" w:hanging="227"/>
        <w:jc w:val="left"/>
        <w:rPr>
          <w:sz w:val="13"/>
        </w:rPr>
      </w:pPr>
      <w:r>
        <w:rPr>
          <w:color w:val="586670"/>
          <w:spacing w:val="3"/>
          <w:w w:val="94"/>
          <w:sz w:val="13"/>
        </w:rPr>
        <w:t>T</w:t>
      </w:r>
      <w:r>
        <w:rPr>
          <w:color w:val="586670"/>
          <w:spacing w:val="2"/>
          <w:w w:val="105"/>
          <w:sz w:val="13"/>
        </w:rPr>
        <w:t>h</w:t>
      </w:r>
      <w:r>
        <w:rPr>
          <w:color w:val="586670"/>
          <w:w w:val="97"/>
          <w:sz w:val="13"/>
        </w:rPr>
        <w:t>e</w:t>
      </w:r>
      <w:r>
        <w:rPr>
          <w:color w:val="586670"/>
          <w:spacing w:val="-7"/>
          <w:sz w:val="13"/>
        </w:rPr>
        <w:t> </w:t>
      </w:r>
      <w:r>
        <w:rPr>
          <w:color w:val="586670"/>
          <w:spacing w:val="2"/>
          <w:w w:val="86"/>
          <w:sz w:val="13"/>
        </w:rPr>
        <w:t>f</w:t>
      </w:r>
      <w:r>
        <w:rPr>
          <w:color w:val="586670"/>
          <w:spacing w:val="1"/>
          <w:w w:val="105"/>
          <w:sz w:val="13"/>
        </w:rPr>
        <w:t>u</w:t>
      </w:r>
      <w:r>
        <w:rPr>
          <w:color w:val="586670"/>
          <w:spacing w:val="1"/>
          <w:w w:val="79"/>
          <w:sz w:val="13"/>
        </w:rPr>
        <w:t>l</w:t>
      </w:r>
      <w:r>
        <w:rPr>
          <w:color w:val="586670"/>
          <w:w w:val="79"/>
          <w:sz w:val="13"/>
        </w:rPr>
        <w:t>l</w:t>
      </w:r>
      <w:r>
        <w:rPr>
          <w:color w:val="586670"/>
          <w:spacing w:val="-7"/>
          <w:sz w:val="13"/>
        </w:rPr>
        <w:t> </w:t>
      </w:r>
      <w:r>
        <w:rPr>
          <w:color w:val="586670"/>
          <w:spacing w:val="2"/>
          <w:w w:val="115"/>
          <w:sz w:val="13"/>
        </w:rPr>
        <w:t>B</w:t>
      </w:r>
      <w:r>
        <w:rPr>
          <w:color w:val="586670"/>
          <w:spacing w:val="3"/>
          <w:w w:val="106"/>
          <w:sz w:val="13"/>
        </w:rPr>
        <w:t>o</w:t>
      </w:r>
      <w:r>
        <w:rPr>
          <w:color w:val="586670"/>
          <w:spacing w:val="1"/>
          <w:w w:val="98"/>
          <w:sz w:val="13"/>
        </w:rPr>
        <w:t>a</w:t>
      </w:r>
      <w:r>
        <w:rPr>
          <w:color w:val="586670"/>
          <w:spacing w:val="2"/>
          <w:w w:val="88"/>
          <w:sz w:val="13"/>
        </w:rPr>
        <w:t>r</w:t>
      </w:r>
      <w:r>
        <w:rPr>
          <w:color w:val="586670"/>
          <w:w w:val="104"/>
          <w:sz w:val="13"/>
        </w:rPr>
        <w:t>d</w:t>
      </w:r>
      <w:r>
        <w:rPr>
          <w:color w:val="586670"/>
          <w:spacing w:val="-7"/>
          <w:sz w:val="13"/>
        </w:rPr>
        <w:t> </w:t>
      </w:r>
      <w:r>
        <w:rPr>
          <w:color w:val="586670"/>
          <w:spacing w:val="1"/>
          <w:w w:val="106"/>
          <w:sz w:val="13"/>
        </w:rPr>
        <w:t>o</w:t>
      </w:r>
      <w:r>
        <w:rPr>
          <w:color w:val="586670"/>
          <w:w w:val="86"/>
          <w:sz w:val="13"/>
        </w:rPr>
        <w:t>f</w:t>
      </w:r>
      <w:r>
        <w:rPr>
          <w:color w:val="586670"/>
          <w:spacing w:val="-7"/>
          <w:sz w:val="13"/>
        </w:rPr>
        <w:t> </w:t>
      </w:r>
      <w:r>
        <w:rPr>
          <w:color w:val="586670"/>
          <w:spacing w:val="2"/>
          <w:w w:val="118"/>
          <w:sz w:val="13"/>
        </w:rPr>
        <w:t>D</w:t>
      </w:r>
      <w:r>
        <w:rPr>
          <w:color w:val="586670"/>
          <w:spacing w:val="1"/>
          <w:w w:val="81"/>
          <w:sz w:val="13"/>
        </w:rPr>
        <w:t>i</w:t>
      </w:r>
      <w:r>
        <w:rPr>
          <w:color w:val="586670"/>
          <w:spacing w:val="2"/>
          <w:w w:val="88"/>
          <w:sz w:val="13"/>
        </w:rPr>
        <w:t>r</w:t>
      </w:r>
      <w:r>
        <w:rPr>
          <w:color w:val="586670"/>
          <w:spacing w:val="3"/>
          <w:w w:val="97"/>
          <w:sz w:val="13"/>
        </w:rPr>
        <w:t>e</w:t>
      </w:r>
      <w:r>
        <w:rPr>
          <w:color w:val="586670"/>
          <w:spacing w:val="3"/>
          <w:w w:val="105"/>
          <w:sz w:val="13"/>
        </w:rPr>
        <w:t>c</w:t>
      </w:r>
      <w:r>
        <w:rPr>
          <w:color w:val="586670"/>
          <w:spacing w:val="1"/>
          <w:w w:val="81"/>
          <w:sz w:val="13"/>
        </w:rPr>
        <w:t>t</w:t>
      </w:r>
      <w:r>
        <w:rPr>
          <w:color w:val="586670"/>
          <w:spacing w:val="2"/>
          <w:w w:val="106"/>
          <w:sz w:val="13"/>
        </w:rPr>
        <w:t>o</w:t>
      </w:r>
      <w:r>
        <w:rPr>
          <w:color w:val="586670"/>
          <w:spacing w:val="3"/>
          <w:w w:val="88"/>
          <w:sz w:val="13"/>
        </w:rPr>
        <w:t>r</w:t>
      </w:r>
      <w:r>
        <w:rPr>
          <w:color w:val="586670"/>
          <w:w w:val="118"/>
          <w:sz w:val="13"/>
        </w:rPr>
        <w:t>s</w:t>
      </w:r>
      <w:r>
        <w:rPr>
          <w:color w:val="586670"/>
          <w:spacing w:val="-7"/>
          <w:sz w:val="13"/>
        </w:rPr>
        <w:t> </w:t>
      </w:r>
      <w:r>
        <w:rPr>
          <w:color w:val="586670"/>
          <w:spacing w:val="1"/>
          <w:w w:val="113"/>
          <w:sz w:val="13"/>
        </w:rPr>
        <w:t>R</w:t>
      </w:r>
      <w:r>
        <w:rPr>
          <w:color w:val="586670"/>
          <w:spacing w:val="3"/>
          <w:w w:val="97"/>
          <w:sz w:val="13"/>
        </w:rPr>
        <w:t>e</w:t>
      </w:r>
      <w:r>
        <w:rPr>
          <w:color w:val="586670"/>
          <w:spacing w:val="1"/>
          <w:w w:val="117"/>
          <w:sz w:val="13"/>
        </w:rPr>
        <w:t>g</w:t>
      </w:r>
      <w:r>
        <w:rPr>
          <w:color w:val="586670"/>
          <w:spacing w:val="1"/>
          <w:w w:val="105"/>
          <w:sz w:val="13"/>
        </w:rPr>
        <w:t>u</w:t>
      </w:r>
      <w:r>
        <w:rPr>
          <w:color w:val="586670"/>
          <w:spacing w:val="3"/>
          <w:w w:val="79"/>
          <w:sz w:val="13"/>
        </w:rPr>
        <w:t>l</w:t>
      </w:r>
      <w:r>
        <w:rPr>
          <w:color w:val="586670"/>
          <w:spacing w:val="1"/>
          <w:w w:val="98"/>
          <w:sz w:val="13"/>
        </w:rPr>
        <w:t>a</w:t>
      </w:r>
      <w:r>
        <w:rPr>
          <w:color w:val="586670"/>
          <w:spacing w:val="2"/>
          <w:w w:val="81"/>
          <w:sz w:val="13"/>
        </w:rPr>
        <w:t>ti</w:t>
      </w:r>
      <w:r>
        <w:rPr>
          <w:color w:val="586670"/>
          <w:spacing w:val="2"/>
          <w:w w:val="106"/>
          <w:sz w:val="13"/>
        </w:rPr>
        <w:t>o</w:t>
      </w:r>
      <w:r>
        <w:rPr>
          <w:color w:val="586670"/>
          <w:spacing w:val="1"/>
          <w:w w:val="105"/>
          <w:sz w:val="13"/>
        </w:rPr>
        <w:t>n</w:t>
      </w:r>
      <w:r>
        <w:rPr>
          <w:color w:val="586670"/>
          <w:w w:val="118"/>
          <w:sz w:val="13"/>
        </w:rPr>
        <w:t>s</w:t>
      </w:r>
      <w:r>
        <w:rPr>
          <w:color w:val="586670"/>
          <w:spacing w:val="-7"/>
          <w:sz w:val="13"/>
        </w:rPr>
        <w:t> </w:t>
      </w:r>
      <w:r>
        <w:rPr>
          <w:color w:val="586670"/>
          <w:spacing w:val="1"/>
          <w:w w:val="98"/>
          <w:sz w:val="13"/>
        </w:rPr>
        <w:t>a</w:t>
      </w:r>
      <w:r>
        <w:rPr>
          <w:color w:val="586670"/>
          <w:spacing w:val="2"/>
          <w:w w:val="105"/>
          <w:sz w:val="13"/>
        </w:rPr>
        <w:t>n</w:t>
      </w:r>
      <w:r>
        <w:rPr>
          <w:color w:val="586670"/>
          <w:w w:val="104"/>
          <w:sz w:val="13"/>
        </w:rPr>
        <w:t>d</w:t>
      </w:r>
      <w:r>
        <w:rPr>
          <w:color w:val="586670"/>
          <w:spacing w:val="-7"/>
          <w:sz w:val="13"/>
        </w:rPr>
        <w:t> </w:t>
      </w:r>
      <w:r>
        <w:rPr>
          <w:color w:val="586670"/>
          <w:spacing w:val="2"/>
          <w:w w:val="111"/>
          <w:sz w:val="13"/>
        </w:rPr>
        <w:t>C</w:t>
      </w:r>
      <w:r>
        <w:rPr>
          <w:color w:val="586670"/>
          <w:spacing w:val="2"/>
          <w:w w:val="106"/>
          <w:sz w:val="13"/>
        </w:rPr>
        <w:t>o</w:t>
      </w:r>
      <w:r>
        <w:rPr>
          <w:color w:val="586670"/>
          <w:spacing w:val="1"/>
          <w:w w:val="107"/>
          <w:sz w:val="13"/>
        </w:rPr>
        <w:t>mm</w:t>
      </w:r>
      <w:r>
        <w:rPr>
          <w:color w:val="586670"/>
          <w:spacing w:val="2"/>
          <w:w w:val="81"/>
          <w:sz w:val="13"/>
        </w:rPr>
        <w:t>i</w:t>
      </w:r>
      <w:r>
        <w:rPr>
          <w:color w:val="586670"/>
          <w:spacing w:val="6"/>
          <w:w w:val="81"/>
          <w:sz w:val="13"/>
        </w:rPr>
        <w:t>t</w:t>
      </w:r>
      <w:r>
        <w:rPr>
          <w:color w:val="586670"/>
          <w:spacing w:val="1"/>
          <w:w w:val="81"/>
          <w:sz w:val="13"/>
        </w:rPr>
        <w:t>t</w:t>
      </w:r>
      <w:r>
        <w:rPr>
          <w:color w:val="586670"/>
          <w:spacing w:val="3"/>
          <w:w w:val="97"/>
          <w:sz w:val="13"/>
        </w:rPr>
        <w:t>e</w:t>
      </w:r>
      <w:r>
        <w:rPr>
          <w:color w:val="586670"/>
          <w:w w:val="97"/>
          <w:sz w:val="13"/>
        </w:rPr>
        <w:t>e</w:t>
      </w:r>
      <w:r>
        <w:rPr>
          <w:color w:val="586670"/>
          <w:spacing w:val="-7"/>
          <w:sz w:val="13"/>
        </w:rPr>
        <w:t> </w:t>
      </w:r>
      <w:r>
        <w:rPr>
          <w:color w:val="586670"/>
          <w:spacing w:val="1"/>
          <w:w w:val="111"/>
          <w:sz w:val="13"/>
        </w:rPr>
        <w:t>C</w:t>
      </w:r>
      <w:r>
        <w:rPr>
          <w:color w:val="586670"/>
          <w:spacing w:val="2"/>
          <w:w w:val="105"/>
          <w:sz w:val="13"/>
        </w:rPr>
        <w:t>h</w:t>
      </w:r>
      <w:r>
        <w:rPr>
          <w:color w:val="586670"/>
          <w:spacing w:val="1"/>
          <w:w w:val="98"/>
          <w:sz w:val="13"/>
        </w:rPr>
        <w:t>a</w:t>
      </w:r>
      <w:r>
        <w:rPr>
          <w:color w:val="586670"/>
          <w:spacing w:val="7"/>
          <w:w w:val="88"/>
          <w:sz w:val="13"/>
        </w:rPr>
        <w:t>r</w:t>
      </w:r>
      <w:r>
        <w:rPr>
          <w:color w:val="586670"/>
          <w:spacing w:val="1"/>
          <w:w w:val="81"/>
          <w:sz w:val="13"/>
        </w:rPr>
        <w:t>t</w:t>
      </w:r>
      <w:r>
        <w:rPr>
          <w:color w:val="586670"/>
          <w:spacing w:val="2"/>
          <w:w w:val="97"/>
          <w:sz w:val="13"/>
        </w:rPr>
        <w:t>e</w:t>
      </w:r>
      <w:r>
        <w:rPr>
          <w:color w:val="586670"/>
          <w:spacing w:val="3"/>
          <w:w w:val="88"/>
          <w:sz w:val="13"/>
        </w:rPr>
        <w:t>r</w:t>
      </w:r>
      <w:r>
        <w:rPr>
          <w:color w:val="586670"/>
          <w:w w:val="118"/>
          <w:sz w:val="13"/>
        </w:rPr>
        <w:t>s</w:t>
      </w:r>
      <w:r>
        <w:rPr>
          <w:color w:val="586670"/>
          <w:spacing w:val="-7"/>
          <w:sz w:val="13"/>
        </w:rPr>
        <w:t> </w:t>
      </w:r>
      <w:r>
        <w:rPr>
          <w:color w:val="586670"/>
          <w:spacing w:val="1"/>
          <w:w w:val="98"/>
          <w:sz w:val="13"/>
        </w:rPr>
        <w:t>a</w:t>
      </w:r>
      <w:r>
        <w:rPr>
          <w:color w:val="586670"/>
          <w:spacing w:val="2"/>
          <w:w w:val="88"/>
          <w:sz w:val="13"/>
        </w:rPr>
        <w:t>r</w:t>
      </w:r>
      <w:r>
        <w:rPr>
          <w:color w:val="586670"/>
          <w:w w:val="97"/>
          <w:sz w:val="13"/>
        </w:rPr>
        <w:t>e</w:t>
      </w:r>
      <w:r>
        <w:rPr>
          <w:color w:val="586670"/>
          <w:spacing w:val="-7"/>
          <w:sz w:val="13"/>
        </w:rPr>
        <w:t> </w:t>
      </w:r>
      <w:r>
        <w:rPr>
          <w:color w:val="586670"/>
          <w:spacing w:val="2"/>
          <w:w w:val="104"/>
          <w:sz w:val="13"/>
        </w:rPr>
        <w:t>p</w:t>
      </w:r>
      <w:r>
        <w:rPr>
          <w:color w:val="586670"/>
          <w:spacing w:val="1"/>
          <w:w w:val="105"/>
          <w:sz w:val="13"/>
        </w:rPr>
        <w:t>u</w:t>
      </w:r>
      <w:r>
        <w:rPr>
          <w:color w:val="586670"/>
          <w:spacing w:val="2"/>
          <w:w w:val="104"/>
          <w:sz w:val="13"/>
        </w:rPr>
        <w:t>b</w:t>
      </w:r>
      <w:r>
        <w:rPr>
          <w:color w:val="586670"/>
          <w:spacing w:val="1"/>
          <w:w w:val="79"/>
          <w:sz w:val="13"/>
        </w:rPr>
        <w:t>l</w:t>
      </w:r>
      <w:r>
        <w:rPr>
          <w:color w:val="586670"/>
          <w:spacing w:val="2"/>
          <w:w w:val="81"/>
          <w:sz w:val="13"/>
        </w:rPr>
        <w:t>i</w:t>
      </w:r>
      <w:r>
        <w:rPr>
          <w:color w:val="586670"/>
          <w:spacing w:val="2"/>
          <w:w w:val="118"/>
          <w:sz w:val="13"/>
        </w:rPr>
        <w:t>s</w:t>
      </w:r>
      <w:r>
        <w:rPr>
          <w:color w:val="586670"/>
          <w:spacing w:val="2"/>
          <w:w w:val="105"/>
          <w:sz w:val="13"/>
        </w:rPr>
        <w:t>h</w:t>
      </w:r>
      <w:r>
        <w:rPr>
          <w:color w:val="586670"/>
          <w:spacing w:val="3"/>
          <w:w w:val="97"/>
          <w:sz w:val="13"/>
        </w:rPr>
        <w:t>e</w:t>
      </w:r>
      <w:r>
        <w:rPr>
          <w:color w:val="586670"/>
          <w:w w:val="104"/>
          <w:sz w:val="13"/>
        </w:rPr>
        <w:t>d</w:t>
      </w:r>
      <w:r>
        <w:rPr>
          <w:color w:val="586670"/>
          <w:spacing w:val="-7"/>
          <w:sz w:val="13"/>
        </w:rPr>
        <w:t> </w:t>
      </w:r>
      <w:r>
        <w:rPr>
          <w:color w:val="586670"/>
          <w:spacing w:val="2"/>
          <w:w w:val="106"/>
          <w:sz w:val="13"/>
        </w:rPr>
        <w:t>o</w:t>
      </w:r>
      <w:r>
        <w:rPr>
          <w:color w:val="586670"/>
          <w:w w:val="105"/>
          <w:sz w:val="13"/>
        </w:rPr>
        <w:t>n</w:t>
      </w:r>
      <w:r>
        <w:rPr>
          <w:color w:val="586670"/>
          <w:spacing w:val="-7"/>
          <w:sz w:val="13"/>
        </w:rPr>
        <w:t> </w:t>
      </w:r>
      <w:hyperlink r:id="rId25">
        <w:r>
          <w:rPr>
            <w:color w:val="586670"/>
            <w:spacing w:val="6"/>
            <w:w w:val="110"/>
            <w:sz w:val="13"/>
          </w:rPr>
          <w:t>ww</w:t>
        </w:r>
        <w:r>
          <w:rPr>
            <w:color w:val="586670"/>
            <w:spacing w:val="-4"/>
            <w:w w:val="98"/>
            <w:sz w:val="13"/>
          </w:rPr>
          <w:t>w</w:t>
        </w:r>
        <w:r>
          <w:rPr>
            <w:color w:val="586670"/>
            <w:spacing w:val="1"/>
            <w:w w:val="98"/>
            <w:sz w:val="13"/>
          </w:rPr>
          <w:t>.</w:t>
        </w:r>
        <w:r>
          <w:rPr>
            <w:color w:val="586670"/>
            <w:spacing w:val="2"/>
            <w:w w:val="105"/>
            <w:sz w:val="13"/>
          </w:rPr>
          <w:t>n</w:t>
        </w:r>
        <w:r>
          <w:rPr>
            <w:color w:val="586670"/>
            <w:spacing w:val="2"/>
            <w:w w:val="97"/>
            <w:sz w:val="13"/>
          </w:rPr>
          <w:t>e</w:t>
        </w:r>
        <w:r>
          <w:rPr>
            <w:color w:val="586670"/>
            <w:spacing w:val="3"/>
            <w:w w:val="118"/>
            <w:sz w:val="13"/>
          </w:rPr>
          <w:t>s</w:t>
        </w:r>
        <w:r>
          <w:rPr>
            <w:color w:val="586670"/>
            <w:spacing w:val="2"/>
            <w:w w:val="81"/>
            <w:sz w:val="13"/>
          </w:rPr>
          <w:t>t</w:t>
        </w:r>
        <w:r>
          <w:rPr>
            <w:color w:val="586670"/>
            <w:spacing w:val="2"/>
            <w:w w:val="79"/>
            <w:sz w:val="13"/>
          </w:rPr>
          <w:t>l</w:t>
        </w:r>
        <w:r>
          <w:rPr>
            <w:color w:val="586670"/>
            <w:spacing w:val="1"/>
            <w:w w:val="97"/>
            <w:sz w:val="13"/>
          </w:rPr>
          <w:t>e</w:t>
        </w:r>
        <w:r>
          <w:rPr>
            <w:color w:val="586670"/>
            <w:w w:val="76"/>
            <w:sz w:val="13"/>
          </w:rPr>
          <w:t>.</w:t>
        </w:r>
        <w:r>
          <w:rPr>
            <w:color w:val="586670"/>
            <w:spacing w:val="3"/>
            <w:w w:val="105"/>
            <w:sz w:val="13"/>
          </w:rPr>
          <w:t>c</w:t>
        </w:r>
        <w:r>
          <w:rPr>
            <w:color w:val="586670"/>
            <w:spacing w:val="2"/>
            <w:w w:val="106"/>
            <w:sz w:val="13"/>
          </w:rPr>
          <w:t>o</w:t>
        </w:r>
        <w:r>
          <w:rPr>
            <w:color w:val="586670"/>
            <w:spacing w:val="4"/>
            <w:w w:val="107"/>
            <w:sz w:val="13"/>
          </w:rPr>
          <w:t>m</w:t>
        </w:r>
        <w:r>
          <w:rPr>
            <w:color w:val="586670"/>
            <w:spacing w:val="4"/>
            <w:w w:val="55"/>
            <w:sz w:val="13"/>
          </w:rPr>
          <w:t>/</w:t>
        </w:r>
        <w:r>
          <w:rPr>
            <w:color w:val="586670"/>
            <w:spacing w:val="1"/>
            <w:w w:val="81"/>
            <w:sz w:val="13"/>
          </w:rPr>
          <w:t>i</w:t>
        </w:r>
        <w:r>
          <w:rPr>
            <w:color w:val="586670"/>
            <w:w w:val="105"/>
            <w:sz w:val="13"/>
          </w:rPr>
          <w:t>n</w:t>
        </w:r>
        <w:r>
          <w:rPr>
            <w:color w:val="586670"/>
            <w:spacing w:val="1"/>
            <w:w w:val="104"/>
            <w:sz w:val="13"/>
          </w:rPr>
          <w:t>v</w:t>
        </w:r>
        <w:r>
          <w:rPr>
            <w:color w:val="586670"/>
            <w:spacing w:val="2"/>
            <w:w w:val="97"/>
            <w:sz w:val="13"/>
          </w:rPr>
          <w:t>e</w:t>
        </w:r>
        <w:r>
          <w:rPr>
            <w:color w:val="586670"/>
            <w:spacing w:val="3"/>
            <w:w w:val="118"/>
            <w:sz w:val="13"/>
          </w:rPr>
          <w:t>s</w:t>
        </w:r>
        <w:r>
          <w:rPr>
            <w:color w:val="586670"/>
            <w:spacing w:val="1"/>
            <w:w w:val="81"/>
            <w:sz w:val="13"/>
          </w:rPr>
          <w:t>t</w:t>
        </w:r>
        <w:r>
          <w:rPr>
            <w:color w:val="586670"/>
            <w:spacing w:val="2"/>
            <w:w w:val="106"/>
            <w:sz w:val="13"/>
          </w:rPr>
          <w:t>o</w:t>
        </w:r>
        <w:r>
          <w:rPr>
            <w:color w:val="586670"/>
            <w:spacing w:val="3"/>
            <w:w w:val="88"/>
            <w:sz w:val="13"/>
          </w:rPr>
          <w:t>r</w:t>
        </w:r>
        <w:r>
          <w:rPr>
            <w:color w:val="586670"/>
            <w:spacing w:val="4"/>
            <w:w w:val="118"/>
            <w:sz w:val="13"/>
          </w:rPr>
          <w:t>s</w:t>
        </w:r>
        <w:r>
          <w:rPr>
            <w:color w:val="586670"/>
            <w:spacing w:val="-1"/>
            <w:w w:val="55"/>
            <w:sz w:val="13"/>
          </w:rPr>
          <w:t>/</w:t>
        </w:r>
        <w:r>
          <w:rPr>
            <w:color w:val="586670"/>
            <w:spacing w:val="3"/>
            <w:w w:val="105"/>
            <w:sz w:val="13"/>
          </w:rPr>
          <w:t>c</w:t>
        </w:r>
        <w:r>
          <w:rPr>
            <w:color w:val="586670"/>
            <w:spacing w:val="2"/>
            <w:w w:val="106"/>
            <w:sz w:val="13"/>
          </w:rPr>
          <w:t>o</w:t>
        </w:r>
        <w:r>
          <w:rPr>
            <w:color w:val="586670"/>
            <w:spacing w:val="3"/>
            <w:w w:val="88"/>
            <w:sz w:val="13"/>
          </w:rPr>
          <w:t>r</w:t>
        </w:r>
        <w:r>
          <w:rPr>
            <w:color w:val="586670"/>
            <w:spacing w:val="3"/>
            <w:w w:val="104"/>
            <w:sz w:val="13"/>
          </w:rPr>
          <w:t>p</w:t>
        </w:r>
        <w:r>
          <w:rPr>
            <w:color w:val="586670"/>
            <w:spacing w:val="2"/>
            <w:w w:val="106"/>
            <w:sz w:val="13"/>
          </w:rPr>
          <w:t>o</w:t>
        </w:r>
        <w:r>
          <w:rPr>
            <w:color w:val="586670"/>
            <w:spacing w:val="3"/>
            <w:w w:val="88"/>
            <w:sz w:val="13"/>
          </w:rPr>
          <w:t>r</w:t>
        </w:r>
        <w:r>
          <w:rPr>
            <w:color w:val="586670"/>
            <w:spacing w:val="1"/>
            <w:w w:val="98"/>
            <w:sz w:val="13"/>
          </w:rPr>
          <w:t>a</w:t>
        </w:r>
        <w:r>
          <w:rPr>
            <w:color w:val="586670"/>
            <w:spacing w:val="1"/>
            <w:w w:val="81"/>
            <w:sz w:val="13"/>
          </w:rPr>
          <w:t>t</w:t>
        </w:r>
        <w:r>
          <w:rPr>
            <w:color w:val="586670"/>
            <w:spacing w:val="3"/>
            <w:w w:val="97"/>
            <w:sz w:val="13"/>
          </w:rPr>
          <w:t>e</w:t>
        </w:r>
        <w:r>
          <w:rPr>
            <w:color w:val="586670"/>
            <w:spacing w:val="2"/>
            <w:w w:val="117"/>
            <w:sz w:val="13"/>
          </w:rPr>
          <w:t>g</w:t>
        </w:r>
        <w:r>
          <w:rPr>
            <w:color w:val="586670"/>
            <w:spacing w:val="1"/>
            <w:w w:val="106"/>
            <w:sz w:val="13"/>
          </w:rPr>
          <w:t>o</w:t>
        </w:r>
        <w:r>
          <w:rPr>
            <w:color w:val="586670"/>
            <w:spacing w:val="1"/>
            <w:w w:val="104"/>
            <w:sz w:val="13"/>
          </w:rPr>
          <w:t>v</w:t>
        </w:r>
        <w:r>
          <w:rPr>
            <w:color w:val="586670"/>
            <w:spacing w:val="2"/>
            <w:w w:val="97"/>
            <w:sz w:val="13"/>
          </w:rPr>
          <w:t>e</w:t>
        </w:r>
        <w:r>
          <w:rPr>
            <w:color w:val="586670"/>
            <w:spacing w:val="3"/>
            <w:w w:val="88"/>
            <w:sz w:val="13"/>
          </w:rPr>
          <w:t>r</w:t>
        </w:r>
        <w:r>
          <w:rPr>
            <w:color w:val="586670"/>
            <w:spacing w:val="2"/>
            <w:w w:val="105"/>
            <w:sz w:val="13"/>
          </w:rPr>
          <w:t>n</w:t>
        </w:r>
        <w:r>
          <w:rPr>
            <w:color w:val="586670"/>
            <w:spacing w:val="1"/>
            <w:w w:val="98"/>
            <w:sz w:val="13"/>
          </w:rPr>
          <w:t>a</w:t>
        </w:r>
        <w:r>
          <w:rPr>
            <w:color w:val="586670"/>
            <w:spacing w:val="2"/>
            <w:w w:val="105"/>
            <w:sz w:val="13"/>
          </w:rPr>
          <w:t>n</w:t>
        </w:r>
        <w:r>
          <w:rPr>
            <w:color w:val="586670"/>
            <w:spacing w:val="3"/>
            <w:w w:val="105"/>
            <w:sz w:val="13"/>
          </w:rPr>
          <w:t>c</w:t>
        </w:r>
        <w:r>
          <w:rPr>
            <w:color w:val="586670"/>
            <w:spacing w:val="1"/>
            <w:w w:val="97"/>
            <w:sz w:val="13"/>
          </w:rPr>
          <w:t>e</w:t>
        </w:r>
        <w:r>
          <w:rPr>
            <w:color w:val="586670"/>
            <w:w w:val="76"/>
            <w:sz w:val="13"/>
          </w:rPr>
          <w:t>.</w:t>
        </w:r>
      </w:hyperlink>
    </w:p>
    <w:p>
      <w:pPr>
        <w:pStyle w:val="ListParagraph"/>
        <w:numPr>
          <w:ilvl w:val="0"/>
          <w:numId w:val="1"/>
        </w:numPr>
        <w:tabs>
          <w:tab w:pos="1213" w:val="left" w:leader="none"/>
        </w:tabs>
        <w:spacing w:line="240" w:lineRule="auto" w:before="9" w:after="0"/>
        <w:ind w:left="1212" w:right="0" w:hanging="227"/>
        <w:jc w:val="left"/>
        <w:rPr>
          <w:sz w:val="13"/>
        </w:rPr>
      </w:pPr>
      <w:r>
        <w:rPr>
          <w:color w:val="586670"/>
          <w:sz w:val="13"/>
        </w:rPr>
        <w:t>The</w:t>
      </w:r>
      <w:r>
        <w:rPr>
          <w:color w:val="586670"/>
          <w:spacing w:val="-6"/>
          <w:sz w:val="13"/>
        </w:rPr>
        <w:t> </w:t>
      </w:r>
      <w:r>
        <w:rPr>
          <w:color w:val="586670"/>
          <w:sz w:val="13"/>
        </w:rPr>
        <w:t>term</w:t>
      </w:r>
      <w:r>
        <w:rPr>
          <w:color w:val="586670"/>
          <w:spacing w:val="-5"/>
          <w:sz w:val="13"/>
        </w:rPr>
        <w:t> </w:t>
      </w:r>
      <w:r>
        <w:rPr>
          <w:color w:val="586670"/>
          <w:sz w:val="13"/>
        </w:rPr>
        <w:t>Executive</w:t>
      </w:r>
      <w:r>
        <w:rPr>
          <w:color w:val="586670"/>
          <w:spacing w:val="-6"/>
          <w:sz w:val="13"/>
        </w:rPr>
        <w:t> </w:t>
      </w:r>
      <w:r>
        <w:rPr>
          <w:color w:val="586670"/>
          <w:sz w:val="13"/>
        </w:rPr>
        <w:t>Committee,</w:t>
      </w:r>
      <w:r>
        <w:rPr>
          <w:color w:val="586670"/>
          <w:spacing w:val="-5"/>
          <w:sz w:val="13"/>
        </w:rPr>
        <w:t> </w:t>
      </w:r>
      <w:r>
        <w:rPr>
          <w:color w:val="586670"/>
          <w:sz w:val="13"/>
        </w:rPr>
        <w:t>as</w:t>
      </w:r>
      <w:r>
        <w:rPr>
          <w:color w:val="586670"/>
          <w:spacing w:val="-5"/>
          <w:sz w:val="13"/>
        </w:rPr>
        <w:t> </w:t>
      </w:r>
      <w:r>
        <w:rPr>
          <w:color w:val="586670"/>
          <w:sz w:val="13"/>
        </w:rPr>
        <w:t>used</w:t>
      </w:r>
      <w:r>
        <w:rPr>
          <w:color w:val="586670"/>
          <w:spacing w:val="-6"/>
          <w:sz w:val="13"/>
        </w:rPr>
        <w:t> </w:t>
      </w:r>
      <w:r>
        <w:rPr>
          <w:color w:val="586670"/>
          <w:sz w:val="13"/>
        </w:rPr>
        <w:t>in</w:t>
      </w:r>
      <w:r>
        <w:rPr>
          <w:color w:val="586670"/>
          <w:spacing w:val="-5"/>
          <w:sz w:val="13"/>
        </w:rPr>
        <w:t> </w:t>
      </w:r>
      <w:r>
        <w:rPr>
          <w:color w:val="586670"/>
          <w:sz w:val="13"/>
        </w:rPr>
        <w:t>the</w:t>
      </w:r>
      <w:r>
        <w:rPr>
          <w:color w:val="586670"/>
          <w:spacing w:val="-6"/>
          <w:sz w:val="13"/>
        </w:rPr>
        <w:t> </w:t>
      </w:r>
      <w:r>
        <w:rPr>
          <w:color w:val="586670"/>
          <w:sz w:val="13"/>
        </w:rPr>
        <w:t>SIX</w:t>
      </w:r>
      <w:r>
        <w:rPr>
          <w:color w:val="586670"/>
          <w:spacing w:val="-5"/>
          <w:sz w:val="13"/>
        </w:rPr>
        <w:t> </w:t>
      </w:r>
      <w:r>
        <w:rPr>
          <w:color w:val="586670"/>
          <w:sz w:val="13"/>
        </w:rPr>
        <w:t>Directive,</w:t>
      </w:r>
      <w:r>
        <w:rPr>
          <w:color w:val="586670"/>
          <w:spacing w:val="-5"/>
          <w:sz w:val="13"/>
        </w:rPr>
        <w:t> </w:t>
      </w:r>
      <w:r>
        <w:rPr>
          <w:color w:val="586670"/>
          <w:sz w:val="13"/>
        </w:rPr>
        <w:t>is</w:t>
      </w:r>
      <w:r>
        <w:rPr>
          <w:color w:val="586670"/>
          <w:spacing w:val="-6"/>
          <w:sz w:val="13"/>
        </w:rPr>
        <w:t> </w:t>
      </w:r>
      <w:r>
        <w:rPr>
          <w:color w:val="586670"/>
          <w:spacing w:val="2"/>
          <w:sz w:val="13"/>
        </w:rPr>
        <w:t>replaced</w:t>
      </w:r>
      <w:r>
        <w:rPr>
          <w:color w:val="586670"/>
          <w:spacing w:val="-5"/>
          <w:sz w:val="13"/>
        </w:rPr>
        <w:t> </w:t>
      </w:r>
      <w:r>
        <w:rPr>
          <w:color w:val="586670"/>
          <w:sz w:val="13"/>
        </w:rPr>
        <w:t>by</w:t>
      </w:r>
      <w:r>
        <w:rPr>
          <w:color w:val="586670"/>
          <w:spacing w:val="-5"/>
          <w:sz w:val="13"/>
        </w:rPr>
        <w:t> </w:t>
      </w:r>
      <w:r>
        <w:rPr>
          <w:color w:val="586670"/>
          <w:sz w:val="13"/>
        </w:rPr>
        <w:t>Executive</w:t>
      </w:r>
      <w:r>
        <w:rPr>
          <w:color w:val="586670"/>
          <w:spacing w:val="-6"/>
          <w:sz w:val="13"/>
        </w:rPr>
        <w:t> </w:t>
      </w:r>
      <w:r>
        <w:rPr>
          <w:color w:val="586670"/>
          <w:sz w:val="13"/>
        </w:rPr>
        <w:t>Board</w:t>
      </w:r>
      <w:r>
        <w:rPr>
          <w:color w:val="586670"/>
          <w:spacing w:val="-5"/>
          <w:sz w:val="13"/>
        </w:rPr>
        <w:t> </w:t>
      </w:r>
      <w:r>
        <w:rPr>
          <w:color w:val="586670"/>
          <w:sz w:val="13"/>
        </w:rPr>
        <w:t>throughout</w:t>
      </w:r>
      <w:r>
        <w:rPr>
          <w:color w:val="586670"/>
          <w:spacing w:val="-6"/>
          <w:sz w:val="13"/>
        </w:rPr>
        <w:t> </w:t>
      </w:r>
      <w:r>
        <w:rPr>
          <w:color w:val="586670"/>
          <w:sz w:val="13"/>
        </w:rPr>
        <w:t>this</w:t>
      </w:r>
      <w:r>
        <w:rPr>
          <w:color w:val="586670"/>
          <w:spacing w:val="-5"/>
          <w:sz w:val="13"/>
        </w:rPr>
        <w:t> </w:t>
      </w:r>
      <w:r>
        <w:rPr>
          <w:color w:val="586670"/>
          <w:sz w:val="13"/>
        </w:rPr>
        <w:t>document.</w:t>
      </w:r>
    </w:p>
    <w:p>
      <w:pPr>
        <w:spacing w:after="0" w:line="240" w:lineRule="auto"/>
        <w:jc w:val="left"/>
        <w:rPr>
          <w:sz w:val="13"/>
        </w:rPr>
        <w:sectPr>
          <w:headerReference w:type="even" r:id="rId22"/>
          <w:footerReference w:type="even" r:id="rId23"/>
          <w:footerReference w:type="default" r:id="rId24"/>
          <w:pgSz w:w="11910" w:h="14750"/>
          <w:pgMar w:header="0" w:footer="509" w:top="560" w:bottom="700" w:left="460" w:right="460"/>
          <w:pgNumType w:start="12"/>
        </w:sectPr>
      </w:pPr>
    </w:p>
    <w:p>
      <w:pPr>
        <w:spacing w:before="72"/>
        <w:ind w:left="560" w:right="0" w:firstLine="0"/>
        <w:jc w:val="left"/>
        <w:rPr>
          <w:sz w:val="25"/>
        </w:rPr>
      </w:pPr>
      <w:bookmarkStart w:name="Group structure and shareholders" w:id="3"/>
      <w:bookmarkEnd w:id="3"/>
      <w:r>
        <w:rPr/>
      </w:r>
      <w:r>
        <w:rPr>
          <w:color w:val="0083CA"/>
          <w:sz w:val="25"/>
        </w:rPr>
        <w:t>Group structure and shareholders</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6"/>
        </w:rPr>
      </w:pPr>
      <w:r>
        <w:rPr/>
        <w:pict>
          <v:line style="position:absolute;mso-position-horizontal-relative:page;mso-position-vertical-relative:paragraph;z-index:-784;mso-wrap-distance-left:0;mso-wrap-distance-right:0" from="51.023602pt,11.681871pt" to="171.495602pt,11.681871pt" stroked="true" strokeweight=".25pt" strokecolor="#231f20">
            <v:stroke dashstyle="solid"/>
            <w10:wrap type="topAndBottom"/>
          </v:line>
        </w:pict>
      </w:r>
      <w:r>
        <w:rPr/>
        <w:pict>
          <v:line style="position:absolute;mso-position-horizontal-relative:page;mso-position-vertical-relative:paragraph;z-index:-760;mso-wrap-distance-left:0;mso-wrap-distance-right:0" from="182.835007pt,11.681871pt" to="303.307007pt,11.681871pt" stroked="true" strokeweight=".25pt" strokecolor="#231f20">
            <v:stroke dashstyle="solid"/>
            <w10:wrap type="topAndBottom"/>
          </v:line>
        </w:pict>
      </w:r>
      <w:r>
        <w:rPr/>
        <w:pict>
          <v:line style="position:absolute;mso-position-horizontal-relative:page;mso-position-vertical-relative:paragraph;z-index:-736;mso-wrap-distance-left:0;mso-wrap-distance-right:0" from="314.645996pt,11.681871pt" to="435.117996pt,11.681871pt" stroked="true" strokeweight=".25pt" strokecolor="#231f20">
            <v:stroke dashstyle="solid"/>
            <w10:wrap type="topAndBottom"/>
          </v:line>
        </w:pict>
      </w:r>
      <w:r>
        <w:rPr/>
        <w:pict>
          <v:line style="position:absolute;mso-position-horizontal-relative:page;mso-position-vertical-relative:paragraph;z-index:-712;mso-wrap-distance-left:0;mso-wrap-distance-right:0" from="446.457001pt,11.681871pt" to="566.929001pt,11.681871pt" stroked="true" strokeweight=".25pt" strokecolor="#231f20">
            <v:stroke dashstyle="solid"/>
            <w10:wrap type="topAndBottom"/>
          </v:line>
        </w:pict>
      </w:r>
    </w:p>
    <w:p>
      <w:pPr>
        <w:pStyle w:val="BodyText"/>
        <w:spacing w:before="5"/>
        <w:rPr>
          <w:sz w:val="14"/>
        </w:rPr>
      </w:pPr>
    </w:p>
    <w:p>
      <w:pPr>
        <w:spacing w:after="0"/>
        <w:rPr>
          <w:sz w:val="14"/>
        </w:rPr>
        <w:sectPr>
          <w:headerReference w:type="default" r:id="rId26"/>
          <w:pgSz w:w="11910" w:h="14750"/>
          <w:pgMar w:header="0" w:footer="509" w:top="980" w:bottom="700" w:left="460" w:right="460"/>
        </w:sectPr>
      </w:pPr>
    </w:p>
    <w:p>
      <w:pPr>
        <w:pStyle w:val="Heading3"/>
        <w:spacing w:before="109"/>
      </w:pPr>
      <w:r>
        <w:rPr>
          <w:color w:val="231F20"/>
          <w:w w:val="110"/>
        </w:rPr>
        <w:t>Preliminary remarks</w:t>
      </w:r>
    </w:p>
    <w:p>
      <w:pPr>
        <w:pStyle w:val="BodyText"/>
        <w:spacing w:line="276" w:lineRule="auto" w:before="31"/>
        <w:ind w:left="560"/>
      </w:pPr>
      <w:r>
        <w:rPr>
          <w:color w:val="231F20"/>
          <w:w w:val="105"/>
        </w:rPr>
        <w:t>The Nestlé Corporate Governance Report </w:t>
      </w:r>
      <w:r>
        <w:rPr>
          <w:color w:val="231F20"/>
          <w:spacing w:val="-4"/>
          <w:w w:val="105"/>
        </w:rPr>
        <w:t>2013 </w:t>
      </w:r>
      <w:r>
        <w:rPr>
          <w:color w:val="231F20"/>
          <w:w w:val="105"/>
        </w:rPr>
        <w:t>follows the SIX Swiss Exchange Directive on Information relating to Corporate Governance and takes into account the Swiss Code</w:t>
      </w:r>
      <w:r>
        <w:rPr>
          <w:color w:val="231F20"/>
          <w:spacing w:val="-15"/>
          <w:w w:val="105"/>
        </w:rPr>
        <w:t> </w:t>
      </w:r>
      <w:r>
        <w:rPr>
          <w:color w:val="231F20"/>
          <w:w w:val="105"/>
        </w:rPr>
        <w:t>of</w:t>
      </w:r>
      <w:r>
        <w:rPr>
          <w:color w:val="231F20"/>
          <w:spacing w:val="-14"/>
          <w:w w:val="105"/>
        </w:rPr>
        <w:t> </w:t>
      </w:r>
      <w:r>
        <w:rPr>
          <w:color w:val="231F20"/>
          <w:w w:val="105"/>
        </w:rPr>
        <w:t>Best</w:t>
      </w:r>
      <w:r>
        <w:rPr>
          <w:color w:val="231F20"/>
          <w:spacing w:val="-14"/>
          <w:w w:val="105"/>
        </w:rPr>
        <w:t> </w:t>
      </w:r>
      <w:r>
        <w:rPr>
          <w:color w:val="231F20"/>
          <w:w w:val="105"/>
        </w:rPr>
        <w:t>Practice</w:t>
      </w:r>
      <w:r>
        <w:rPr>
          <w:color w:val="231F20"/>
          <w:spacing w:val="-14"/>
          <w:w w:val="105"/>
        </w:rPr>
        <w:t> </w:t>
      </w:r>
      <w:r>
        <w:rPr>
          <w:color w:val="231F20"/>
          <w:w w:val="105"/>
        </w:rPr>
        <w:t>for</w:t>
      </w:r>
      <w:r>
        <w:rPr>
          <w:color w:val="231F20"/>
          <w:spacing w:val="-14"/>
          <w:w w:val="105"/>
        </w:rPr>
        <w:t> </w:t>
      </w:r>
      <w:r>
        <w:rPr>
          <w:color w:val="231F20"/>
          <w:w w:val="105"/>
        </w:rPr>
        <w:t>Corporate</w:t>
      </w:r>
      <w:r>
        <w:rPr>
          <w:color w:val="231F20"/>
          <w:spacing w:val="-14"/>
          <w:w w:val="105"/>
        </w:rPr>
        <w:t> </w:t>
      </w:r>
      <w:r>
        <w:rPr>
          <w:color w:val="231F20"/>
          <w:w w:val="105"/>
        </w:rPr>
        <w:t>Governance,</w:t>
      </w:r>
      <w:r>
        <w:rPr>
          <w:color w:val="231F20"/>
          <w:spacing w:val="-14"/>
          <w:w w:val="105"/>
        </w:rPr>
        <w:t> </w:t>
      </w:r>
      <w:r>
        <w:rPr>
          <w:color w:val="231F20"/>
          <w:w w:val="105"/>
        </w:rPr>
        <w:t>as</w:t>
      </w:r>
      <w:r>
        <w:rPr>
          <w:color w:val="231F20"/>
          <w:spacing w:val="-14"/>
          <w:w w:val="105"/>
        </w:rPr>
        <w:t> </w:t>
      </w:r>
      <w:r>
        <w:rPr>
          <w:color w:val="231F20"/>
          <w:w w:val="105"/>
        </w:rPr>
        <w:t>in</w:t>
      </w:r>
      <w:r>
        <w:rPr>
          <w:color w:val="231F20"/>
          <w:spacing w:val="-14"/>
          <w:w w:val="105"/>
        </w:rPr>
        <w:t> </w:t>
      </w:r>
      <w:r>
        <w:rPr>
          <w:color w:val="231F20"/>
          <w:w w:val="105"/>
        </w:rPr>
        <w:t>force at </w:t>
      </w:r>
      <w:r>
        <w:rPr>
          <w:color w:val="231F20"/>
          <w:spacing w:val="-3"/>
          <w:w w:val="105"/>
        </w:rPr>
        <w:t>31 </w:t>
      </w:r>
      <w:r>
        <w:rPr>
          <w:color w:val="231F20"/>
          <w:w w:val="105"/>
        </w:rPr>
        <w:t>December </w:t>
      </w:r>
      <w:r>
        <w:rPr>
          <w:color w:val="231F20"/>
          <w:spacing w:val="-4"/>
          <w:w w:val="105"/>
        </w:rPr>
        <w:t>2013. </w:t>
      </w:r>
      <w:r>
        <w:rPr>
          <w:color w:val="231F20"/>
          <w:w w:val="105"/>
        </w:rPr>
        <w:t>Additional information can be found in the Compensation</w:t>
      </w:r>
      <w:r>
        <w:rPr>
          <w:color w:val="231F20"/>
          <w:spacing w:val="-19"/>
          <w:w w:val="105"/>
        </w:rPr>
        <w:t> </w:t>
      </w:r>
      <w:r>
        <w:rPr>
          <w:color w:val="231F20"/>
          <w:w w:val="105"/>
        </w:rPr>
        <w:t>Report.</w:t>
      </w:r>
    </w:p>
    <w:p>
      <w:pPr>
        <w:pStyle w:val="BodyText"/>
        <w:spacing w:line="276" w:lineRule="auto"/>
        <w:ind w:left="560" w:right="109" w:firstLine="226"/>
      </w:pPr>
      <w:r>
        <w:rPr>
          <w:color w:val="231F20"/>
          <w:spacing w:val="-7"/>
        </w:rPr>
        <w:t>To </w:t>
      </w:r>
      <w:r>
        <w:rPr>
          <w:color w:val="231F20"/>
        </w:rPr>
        <w:t>avoid duplication of information, cross-referencing to other reports is made in some sections, namely the Annual Report </w:t>
      </w:r>
      <w:r>
        <w:rPr>
          <w:color w:val="231F20"/>
          <w:spacing w:val="-4"/>
        </w:rPr>
        <w:t>2013, </w:t>
      </w:r>
      <w:r>
        <w:rPr>
          <w:color w:val="231F20"/>
        </w:rPr>
        <w:t>the Financial Statements </w:t>
      </w:r>
      <w:r>
        <w:rPr>
          <w:color w:val="231F20"/>
          <w:spacing w:val="-4"/>
        </w:rPr>
        <w:t>2013  </w:t>
      </w:r>
      <w:r>
        <w:rPr>
          <w:color w:val="231F20"/>
        </w:rPr>
        <w:t>that comprise the Consolidated Financial Statements of the Nestlé Group and the Financial Statements of Nestlé S.A., as well as the Articles of Association of Nestlé S.A., whose full text can be consulted in this report or on</w:t>
      </w:r>
      <w:r>
        <w:rPr>
          <w:color w:val="231F20"/>
          <w:spacing w:val="7"/>
        </w:rPr>
        <w:t> </w:t>
      </w:r>
      <w:hyperlink r:id="rId27">
        <w:r>
          <w:rPr>
            <w:color w:val="231F20"/>
          </w:rPr>
          <w:t>www.nestle.com.</w:t>
        </w:r>
      </w:hyperlink>
    </w:p>
    <w:p>
      <w:pPr>
        <w:pStyle w:val="BodyText"/>
        <w:spacing w:line="276" w:lineRule="auto"/>
        <w:ind w:left="560" w:right="109" w:firstLine="226"/>
      </w:pPr>
      <w:r>
        <w:rPr>
          <w:color w:val="231F20"/>
        </w:rPr>
        <w:t>The Consolidated Financial Statements of the Nestlé  Group </w:t>
      </w:r>
      <w:r>
        <w:rPr>
          <w:color w:val="231F20"/>
          <w:spacing w:val="-4"/>
        </w:rPr>
        <w:t>2013 </w:t>
      </w:r>
      <w:r>
        <w:rPr>
          <w:color w:val="231F20"/>
        </w:rPr>
        <w:t>comply with International Financial Reporting Standards (IFRS) issued by the International Accounting Standards Board (IASB) and with the interpretations issued  by the IFRS Interpretations Committee </w:t>
      </w:r>
      <w:r>
        <w:rPr>
          <w:color w:val="231F20"/>
          <w:spacing w:val="-3"/>
        </w:rPr>
        <w:t>(IFRIC). </w:t>
      </w:r>
      <w:r>
        <w:rPr>
          <w:color w:val="231F20"/>
        </w:rPr>
        <w:t>Where necessary, these disclosures have been extended to comply with the requirements of the SIX Swiss Exchange Directive Financial</w:t>
      </w:r>
      <w:r>
        <w:rPr>
          <w:color w:val="231F20"/>
          <w:spacing w:val="-3"/>
        </w:rPr>
        <w:t> </w:t>
      </w:r>
      <w:r>
        <w:rPr>
          <w:color w:val="231F20"/>
        </w:rPr>
        <w:t>Reporting.</w:t>
      </w:r>
    </w:p>
    <w:p>
      <w:pPr>
        <w:pStyle w:val="Heading3"/>
        <w:numPr>
          <w:ilvl w:val="0"/>
          <w:numId w:val="2"/>
        </w:numPr>
        <w:tabs>
          <w:tab w:pos="656" w:val="left" w:leader="none"/>
          <w:tab w:pos="657" w:val="left" w:leader="none"/>
        </w:tabs>
        <w:spacing w:line="240" w:lineRule="auto" w:before="109" w:after="0"/>
        <w:ind w:left="656" w:right="0" w:hanging="454"/>
        <w:jc w:val="left"/>
      </w:pPr>
      <w:r>
        <w:rPr>
          <w:color w:val="231F20"/>
          <w:spacing w:val="1"/>
          <w:w w:val="108"/>
        </w:rPr>
        <w:br w:type="column"/>
      </w:r>
      <w:r>
        <w:rPr>
          <w:color w:val="231F20"/>
          <w:w w:val="110"/>
        </w:rPr>
        <w:t>Group structure and</w:t>
      </w:r>
      <w:r>
        <w:rPr>
          <w:color w:val="231F20"/>
          <w:spacing w:val="-24"/>
          <w:w w:val="110"/>
        </w:rPr>
        <w:t> </w:t>
      </w:r>
      <w:r>
        <w:rPr>
          <w:color w:val="231F20"/>
          <w:w w:val="110"/>
        </w:rPr>
        <w:t>shareholders</w:t>
      </w:r>
    </w:p>
    <w:p>
      <w:pPr>
        <w:pStyle w:val="ListParagraph"/>
        <w:numPr>
          <w:ilvl w:val="1"/>
          <w:numId w:val="2"/>
        </w:numPr>
        <w:tabs>
          <w:tab w:pos="657" w:val="left" w:leader="none"/>
        </w:tabs>
        <w:spacing w:line="240" w:lineRule="auto" w:before="31" w:after="0"/>
        <w:ind w:left="656" w:right="0" w:hanging="454"/>
        <w:jc w:val="left"/>
        <w:rPr>
          <w:b/>
          <w:sz w:val="18"/>
        </w:rPr>
      </w:pPr>
      <w:r>
        <w:rPr>
          <w:b/>
          <w:color w:val="586670"/>
          <w:w w:val="110"/>
          <w:sz w:val="18"/>
        </w:rPr>
        <w:t>Group</w:t>
      </w:r>
      <w:r>
        <w:rPr>
          <w:b/>
          <w:color w:val="586670"/>
          <w:spacing w:val="-8"/>
          <w:w w:val="110"/>
          <w:sz w:val="18"/>
        </w:rPr>
        <w:t> </w:t>
      </w:r>
      <w:r>
        <w:rPr>
          <w:b/>
          <w:color w:val="586670"/>
          <w:w w:val="110"/>
          <w:sz w:val="18"/>
        </w:rPr>
        <w:t>structure</w:t>
      </w:r>
    </w:p>
    <w:p>
      <w:pPr>
        <w:pStyle w:val="BodyText"/>
        <w:spacing w:line="276" w:lineRule="auto" w:before="31"/>
        <w:ind w:left="202" w:right="202"/>
      </w:pPr>
      <w:r>
        <w:rPr>
          <w:color w:val="231F20"/>
        </w:rPr>
        <w:t>Please refer to the Annual Report 2013, page 6 for the overview of Directors and Officers.</w:t>
      </w:r>
    </w:p>
    <w:p>
      <w:pPr>
        <w:pStyle w:val="BodyText"/>
        <w:spacing w:before="6"/>
        <w:rPr>
          <w:sz w:val="20"/>
        </w:rPr>
      </w:pPr>
    </w:p>
    <w:p>
      <w:pPr>
        <w:pStyle w:val="ListParagraph"/>
        <w:numPr>
          <w:ilvl w:val="2"/>
          <w:numId w:val="2"/>
        </w:numPr>
        <w:tabs>
          <w:tab w:pos="657" w:val="left" w:leader="none"/>
        </w:tabs>
        <w:spacing w:line="276" w:lineRule="auto" w:before="1" w:after="0"/>
        <w:ind w:left="202" w:right="222" w:firstLine="0"/>
        <w:jc w:val="left"/>
        <w:rPr>
          <w:sz w:val="18"/>
        </w:rPr>
      </w:pPr>
      <w:r>
        <w:rPr>
          <w:color w:val="586670"/>
          <w:sz w:val="18"/>
        </w:rPr>
        <w:t>Description of the issuer’s operational group structure</w:t>
      </w:r>
      <w:r>
        <w:rPr>
          <w:color w:val="231F20"/>
          <w:sz w:val="18"/>
        </w:rPr>
        <w:t> For the general organisation chart of Nestlé S.A.,</w:t>
      </w:r>
      <w:r>
        <w:rPr>
          <w:color w:val="231F20"/>
          <w:spacing w:val="16"/>
          <w:sz w:val="18"/>
        </w:rPr>
        <w:t> </w:t>
      </w:r>
      <w:r>
        <w:rPr>
          <w:color w:val="231F20"/>
          <w:sz w:val="18"/>
        </w:rPr>
        <w:t>refer</w:t>
      </w:r>
    </w:p>
    <w:p>
      <w:pPr>
        <w:pStyle w:val="BodyText"/>
        <w:spacing w:line="276" w:lineRule="auto"/>
        <w:ind w:left="202" w:right="202"/>
      </w:pPr>
      <w:r>
        <w:rPr>
          <w:color w:val="231F20"/>
        </w:rPr>
        <w:t>to page 34 of this document. The Group’s Management structure is represented in the analysis by operating segments (refer to Note 3 of the Consolidated Financial Statements of the Nestlé Group 2013).</w:t>
      </w:r>
    </w:p>
    <w:p>
      <w:pPr>
        <w:pStyle w:val="BodyText"/>
        <w:spacing w:before="5"/>
        <w:rPr>
          <w:sz w:val="20"/>
        </w:rPr>
      </w:pPr>
    </w:p>
    <w:p>
      <w:pPr>
        <w:pStyle w:val="ListParagraph"/>
        <w:numPr>
          <w:ilvl w:val="2"/>
          <w:numId w:val="2"/>
        </w:numPr>
        <w:tabs>
          <w:tab w:pos="657" w:val="left" w:leader="none"/>
        </w:tabs>
        <w:spacing w:line="276" w:lineRule="auto" w:before="0" w:after="0"/>
        <w:ind w:left="202" w:right="409" w:firstLine="0"/>
        <w:jc w:val="left"/>
        <w:rPr>
          <w:sz w:val="18"/>
        </w:rPr>
      </w:pPr>
      <w:r>
        <w:rPr>
          <w:color w:val="586670"/>
          <w:w w:val="105"/>
          <w:sz w:val="18"/>
        </w:rPr>
        <w:t>All</w:t>
      </w:r>
      <w:r>
        <w:rPr>
          <w:color w:val="586670"/>
          <w:spacing w:val="-15"/>
          <w:w w:val="105"/>
          <w:sz w:val="18"/>
        </w:rPr>
        <w:t> </w:t>
      </w:r>
      <w:r>
        <w:rPr>
          <w:color w:val="586670"/>
          <w:w w:val="105"/>
          <w:sz w:val="18"/>
        </w:rPr>
        <w:t>listed</w:t>
      </w:r>
      <w:r>
        <w:rPr>
          <w:color w:val="586670"/>
          <w:spacing w:val="-14"/>
          <w:w w:val="105"/>
          <w:sz w:val="18"/>
        </w:rPr>
        <w:t> </w:t>
      </w:r>
      <w:r>
        <w:rPr>
          <w:color w:val="586670"/>
          <w:w w:val="105"/>
          <w:sz w:val="18"/>
        </w:rPr>
        <w:t>companies</w:t>
      </w:r>
      <w:r>
        <w:rPr>
          <w:color w:val="586670"/>
          <w:spacing w:val="-14"/>
          <w:w w:val="105"/>
          <w:sz w:val="18"/>
        </w:rPr>
        <w:t> </w:t>
      </w:r>
      <w:r>
        <w:rPr>
          <w:color w:val="586670"/>
          <w:w w:val="105"/>
          <w:sz w:val="18"/>
        </w:rPr>
        <w:t>belonging</w:t>
      </w:r>
      <w:r>
        <w:rPr>
          <w:color w:val="586670"/>
          <w:spacing w:val="-14"/>
          <w:w w:val="105"/>
          <w:sz w:val="18"/>
        </w:rPr>
        <w:t> </w:t>
      </w:r>
      <w:r>
        <w:rPr>
          <w:color w:val="586670"/>
          <w:w w:val="105"/>
          <w:sz w:val="18"/>
        </w:rPr>
        <w:t>to</w:t>
      </w:r>
      <w:r>
        <w:rPr>
          <w:color w:val="586670"/>
          <w:spacing w:val="-14"/>
          <w:w w:val="105"/>
          <w:sz w:val="18"/>
        </w:rPr>
        <w:t> </w:t>
      </w:r>
      <w:r>
        <w:rPr>
          <w:color w:val="586670"/>
          <w:w w:val="105"/>
          <w:sz w:val="18"/>
        </w:rPr>
        <w:t>the</w:t>
      </w:r>
      <w:r>
        <w:rPr>
          <w:color w:val="586670"/>
          <w:spacing w:val="-14"/>
          <w:w w:val="105"/>
          <w:sz w:val="18"/>
        </w:rPr>
        <w:t> </w:t>
      </w:r>
      <w:r>
        <w:rPr>
          <w:color w:val="586670"/>
          <w:w w:val="105"/>
          <w:sz w:val="18"/>
        </w:rPr>
        <w:t>issuer’s</w:t>
      </w:r>
      <w:r>
        <w:rPr>
          <w:color w:val="586670"/>
          <w:spacing w:val="-14"/>
          <w:w w:val="105"/>
          <w:sz w:val="18"/>
        </w:rPr>
        <w:t> </w:t>
      </w:r>
      <w:r>
        <w:rPr>
          <w:color w:val="586670"/>
          <w:w w:val="105"/>
          <w:sz w:val="18"/>
        </w:rPr>
        <w:t>group</w:t>
      </w:r>
      <w:r>
        <w:rPr>
          <w:color w:val="231F20"/>
          <w:w w:val="105"/>
          <w:sz w:val="18"/>
        </w:rPr>
        <w:t> The registered offices of Nestlé S.A. are in Vevey and Cham</w:t>
      </w:r>
      <w:r>
        <w:rPr>
          <w:color w:val="231F20"/>
          <w:spacing w:val="-16"/>
          <w:w w:val="105"/>
          <w:sz w:val="18"/>
        </w:rPr>
        <w:t> </w:t>
      </w:r>
      <w:r>
        <w:rPr>
          <w:color w:val="231F20"/>
          <w:w w:val="105"/>
          <w:sz w:val="18"/>
        </w:rPr>
        <w:t>(Switzerland).</w:t>
      </w:r>
      <w:r>
        <w:rPr>
          <w:color w:val="231F20"/>
          <w:spacing w:val="-15"/>
          <w:w w:val="105"/>
          <w:sz w:val="18"/>
        </w:rPr>
        <w:t> </w:t>
      </w:r>
      <w:r>
        <w:rPr>
          <w:color w:val="231F20"/>
          <w:w w:val="105"/>
          <w:sz w:val="18"/>
        </w:rPr>
        <w:t>Nestlé</w:t>
      </w:r>
      <w:r>
        <w:rPr>
          <w:color w:val="231F20"/>
          <w:spacing w:val="-15"/>
          <w:w w:val="105"/>
          <w:sz w:val="18"/>
        </w:rPr>
        <w:t> </w:t>
      </w:r>
      <w:r>
        <w:rPr>
          <w:color w:val="231F20"/>
          <w:w w:val="105"/>
          <w:sz w:val="18"/>
        </w:rPr>
        <w:t>S.A.</w:t>
      </w:r>
      <w:r>
        <w:rPr>
          <w:color w:val="231F20"/>
          <w:spacing w:val="-15"/>
          <w:w w:val="105"/>
          <w:sz w:val="18"/>
        </w:rPr>
        <w:t> </w:t>
      </w:r>
      <w:r>
        <w:rPr>
          <w:color w:val="231F20"/>
          <w:w w:val="105"/>
          <w:sz w:val="18"/>
        </w:rPr>
        <w:t>shares</w:t>
      </w:r>
      <w:r>
        <w:rPr>
          <w:color w:val="231F20"/>
          <w:spacing w:val="-15"/>
          <w:w w:val="105"/>
          <w:sz w:val="18"/>
        </w:rPr>
        <w:t> </w:t>
      </w:r>
      <w:r>
        <w:rPr>
          <w:color w:val="231F20"/>
          <w:w w:val="105"/>
          <w:sz w:val="18"/>
        </w:rPr>
        <w:t>are</w:t>
      </w:r>
      <w:r>
        <w:rPr>
          <w:color w:val="231F20"/>
          <w:spacing w:val="-16"/>
          <w:w w:val="105"/>
          <w:sz w:val="18"/>
        </w:rPr>
        <w:t> </w:t>
      </w:r>
      <w:r>
        <w:rPr>
          <w:color w:val="231F20"/>
          <w:w w:val="105"/>
          <w:sz w:val="18"/>
        </w:rPr>
        <w:t>listed</w:t>
      </w:r>
      <w:r>
        <w:rPr>
          <w:color w:val="231F20"/>
          <w:spacing w:val="-15"/>
          <w:w w:val="105"/>
          <w:sz w:val="18"/>
        </w:rPr>
        <w:t> </w:t>
      </w:r>
      <w:r>
        <w:rPr>
          <w:color w:val="231F20"/>
          <w:w w:val="105"/>
          <w:sz w:val="18"/>
        </w:rPr>
        <w:t>on</w:t>
      </w:r>
      <w:r>
        <w:rPr>
          <w:color w:val="231F20"/>
          <w:spacing w:val="-15"/>
          <w:w w:val="105"/>
          <w:sz w:val="18"/>
        </w:rPr>
        <w:t> </w:t>
      </w:r>
      <w:r>
        <w:rPr>
          <w:color w:val="231F20"/>
          <w:w w:val="105"/>
          <w:sz w:val="18"/>
        </w:rPr>
        <w:t>the SIX Swiss Exchange (ISIN code: CH0038863350).</w:t>
      </w:r>
      <w:r>
        <w:rPr>
          <w:color w:val="231F20"/>
          <w:spacing w:val="38"/>
          <w:w w:val="105"/>
          <w:sz w:val="18"/>
        </w:rPr>
        <w:t> </w:t>
      </w:r>
      <w:r>
        <w:rPr>
          <w:color w:val="231F20"/>
          <w:w w:val="105"/>
          <w:sz w:val="18"/>
        </w:rPr>
        <w:t>At</w:t>
      </w:r>
    </w:p>
    <w:p>
      <w:pPr>
        <w:pStyle w:val="BodyText"/>
        <w:spacing w:line="276" w:lineRule="auto"/>
        <w:ind w:left="202" w:right="202"/>
      </w:pPr>
      <w:r>
        <w:rPr>
          <w:color w:val="231F20"/>
        </w:rPr>
        <w:t>31 December 2013, the market capitalization of Nestlé S.A. was CHF 208 279 000 000. For further information see also page 200 of the Annual Report 2013 and visit our website </w:t>
      </w:r>
      <w:r>
        <w:rPr>
          <w:color w:val="231F20"/>
          <w:w w:val="109"/>
        </w:rPr>
        <w:t>o</w:t>
      </w:r>
      <w:r>
        <w:rPr>
          <w:color w:val="231F20"/>
          <w:w w:val="108"/>
        </w:rPr>
        <w:t>n</w:t>
      </w:r>
      <w:r>
        <w:rPr>
          <w:color w:val="231F20"/>
        </w:rPr>
        <w:t> </w:t>
      </w:r>
      <w:hyperlink r:id="rId28">
        <w:r>
          <w:rPr>
            <w:color w:val="231F20"/>
            <w:w w:val="113"/>
          </w:rPr>
          <w:t>www</w:t>
        </w:r>
        <w:r>
          <w:rPr>
            <w:color w:val="231F20"/>
            <w:w w:val="78"/>
          </w:rPr>
          <w:t>.</w:t>
        </w:r>
        <w:r>
          <w:rPr>
            <w:color w:val="231F20"/>
            <w:w w:val="108"/>
          </w:rPr>
          <w:t>n</w:t>
        </w:r>
        <w:r>
          <w:rPr>
            <w:color w:val="231F20"/>
            <w:w w:val="100"/>
          </w:rPr>
          <w:t>e</w:t>
        </w:r>
        <w:r>
          <w:rPr>
            <w:color w:val="231F20"/>
            <w:w w:val="121"/>
          </w:rPr>
          <w:t>s</w:t>
        </w:r>
        <w:r>
          <w:rPr>
            <w:color w:val="231F20"/>
            <w:w w:val="83"/>
          </w:rPr>
          <w:t>t</w:t>
        </w:r>
        <w:r>
          <w:rPr>
            <w:color w:val="231F20"/>
            <w:w w:val="81"/>
          </w:rPr>
          <w:t>l</w:t>
        </w:r>
        <w:r>
          <w:rPr>
            <w:color w:val="231F20"/>
            <w:w w:val="100"/>
          </w:rPr>
          <w:t>e</w:t>
        </w:r>
        <w:r>
          <w:rPr>
            <w:color w:val="231F20"/>
            <w:w w:val="78"/>
          </w:rPr>
          <w:t>.</w:t>
        </w:r>
        <w:r>
          <w:rPr>
            <w:color w:val="231F20"/>
            <w:w w:val="108"/>
          </w:rPr>
          <w:t>c</w:t>
        </w:r>
        <w:r>
          <w:rPr>
            <w:color w:val="231F20"/>
            <w:w w:val="109"/>
          </w:rPr>
          <w:t>o</w:t>
        </w:r>
        <w:r>
          <w:rPr>
            <w:color w:val="231F20"/>
            <w:w w:val="110"/>
          </w:rPr>
          <w:t>m</w:t>
        </w:r>
        <w:r>
          <w:rPr>
            <w:color w:val="231F20"/>
            <w:w w:val="57"/>
          </w:rPr>
          <w:t>/</w:t>
        </w:r>
        <w:r>
          <w:rPr>
            <w:color w:val="231F20"/>
            <w:w w:val="99"/>
          </w:rPr>
          <w:t>in</w:t>
        </w:r>
        <w:r>
          <w:rPr>
            <w:color w:val="231F20"/>
            <w:w w:val="107"/>
          </w:rPr>
          <w:t>v</w:t>
        </w:r>
        <w:r>
          <w:rPr>
            <w:color w:val="231F20"/>
            <w:w w:val="100"/>
          </w:rPr>
          <w:t>e</w:t>
        </w:r>
        <w:r>
          <w:rPr>
            <w:color w:val="231F20"/>
            <w:w w:val="121"/>
          </w:rPr>
          <w:t>s</w:t>
        </w:r>
        <w:r>
          <w:rPr>
            <w:color w:val="231F20"/>
            <w:w w:val="83"/>
          </w:rPr>
          <w:t>t</w:t>
        </w:r>
        <w:r>
          <w:rPr>
            <w:color w:val="231F20"/>
            <w:w w:val="109"/>
          </w:rPr>
          <w:t>o</w:t>
        </w:r>
        <w:r>
          <w:rPr>
            <w:color w:val="231F20"/>
            <w:w w:val="90"/>
          </w:rPr>
          <w:t>r</w:t>
        </w:r>
        <w:r>
          <w:rPr>
            <w:color w:val="231F20"/>
            <w:w w:val="121"/>
          </w:rPr>
          <w:t>s</w:t>
        </w:r>
        <w:r>
          <w:rPr>
            <w:color w:val="231F20"/>
            <w:w w:val="78"/>
          </w:rPr>
          <w:t>.</w:t>
        </w:r>
      </w:hyperlink>
    </w:p>
    <w:p>
      <w:pPr>
        <w:pStyle w:val="BodyText"/>
        <w:spacing w:line="276" w:lineRule="auto"/>
        <w:ind w:left="202" w:right="202" w:firstLine="226"/>
      </w:pPr>
      <w:r>
        <w:rPr>
          <w:color w:val="231F20"/>
        </w:rPr>
        <w:t>Please refer to the Consolidated Financial Statements of the Nestlé Group </w:t>
      </w:r>
      <w:r>
        <w:rPr>
          <w:color w:val="231F20"/>
          <w:spacing w:val="-4"/>
        </w:rPr>
        <w:t>2013, </w:t>
      </w:r>
      <w:r>
        <w:rPr>
          <w:color w:val="231F20"/>
        </w:rPr>
        <w:t>page 154 for a list of the principal affiliated and associated companies, with an indication of their company names, registered office, share capital, place of listing, securities’ ISIN numbers, their market capitalisation and the Company’s</w:t>
      </w:r>
      <w:r>
        <w:rPr>
          <w:color w:val="231F20"/>
          <w:spacing w:val="-4"/>
        </w:rPr>
        <w:t> </w:t>
      </w:r>
      <w:r>
        <w:rPr>
          <w:color w:val="231F20"/>
        </w:rPr>
        <w:t>participation.</w:t>
      </w:r>
    </w:p>
    <w:p>
      <w:pPr>
        <w:pStyle w:val="BodyText"/>
        <w:spacing w:before="3"/>
        <w:rPr>
          <w:sz w:val="20"/>
        </w:rPr>
      </w:pPr>
    </w:p>
    <w:p>
      <w:pPr>
        <w:pStyle w:val="ListParagraph"/>
        <w:numPr>
          <w:ilvl w:val="2"/>
          <w:numId w:val="2"/>
        </w:numPr>
        <w:tabs>
          <w:tab w:pos="657" w:val="left" w:leader="none"/>
        </w:tabs>
        <w:spacing w:line="276" w:lineRule="auto" w:before="0" w:after="0"/>
        <w:ind w:left="656" w:right="1138" w:hanging="454"/>
        <w:jc w:val="left"/>
        <w:rPr>
          <w:sz w:val="18"/>
        </w:rPr>
      </w:pPr>
      <w:r>
        <w:rPr>
          <w:color w:val="586670"/>
          <w:sz w:val="18"/>
        </w:rPr>
        <w:t>The non-listed companies belonging to the issuer’s consolidated</w:t>
      </w:r>
      <w:r>
        <w:rPr>
          <w:color w:val="586670"/>
          <w:spacing w:val="-13"/>
          <w:sz w:val="18"/>
        </w:rPr>
        <w:t> </w:t>
      </w:r>
      <w:r>
        <w:rPr>
          <w:color w:val="586670"/>
          <w:sz w:val="18"/>
        </w:rPr>
        <w:t>entities</w:t>
      </w:r>
    </w:p>
    <w:p>
      <w:pPr>
        <w:pStyle w:val="BodyText"/>
        <w:spacing w:line="276" w:lineRule="auto"/>
        <w:ind w:left="202" w:right="297"/>
      </w:pPr>
      <w:r>
        <w:rPr>
          <w:color w:val="231F20"/>
        </w:rPr>
        <w:t>Please refer to the Consolidated Financial Statements of  the Nestlé Group </w:t>
      </w:r>
      <w:r>
        <w:rPr>
          <w:color w:val="231F20"/>
          <w:spacing w:val="-4"/>
        </w:rPr>
        <w:t>2013,  </w:t>
      </w:r>
      <w:r>
        <w:rPr>
          <w:color w:val="231F20"/>
        </w:rPr>
        <w:t>page 154 for the enumeration of  the principal affiliated and associated companies, with an indication of their company names, registered office, share capital and the Company’s</w:t>
      </w:r>
      <w:r>
        <w:rPr>
          <w:color w:val="231F20"/>
          <w:spacing w:val="-7"/>
        </w:rPr>
        <w:t> </w:t>
      </w:r>
      <w:r>
        <w:rPr>
          <w:color w:val="231F20"/>
        </w:rPr>
        <w:t>participation.</w:t>
      </w:r>
    </w:p>
    <w:p>
      <w:pPr>
        <w:spacing w:after="0" w:line="276" w:lineRule="auto"/>
        <w:sectPr>
          <w:type w:val="continuous"/>
          <w:pgSz w:w="11910" w:h="14750"/>
          <w:pgMar w:top="540" w:bottom="280" w:left="460" w:right="460"/>
          <w:cols w:num="2" w:equalWidth="0">
            <w:col w:w="5591" w:space="40"/>
            <w:col w:w="5359"/>
          </w:cols>
        </w:sectPr>
      </w:pPr>
    </w:p>
    <w:p>
      <w:pPr>
        <w:pStyle w:val="Heading2"/>
        <w:ind w:left="5287" w:right="3763"/>
        <w:jc w:val="center"/>
      </w:pPr>
      <w:bookmarkStart w:name="Capital structure" w:id="4"/>
      <w:bookmarkEnd w:id="4"/>
      <w:r>
        <w:rPr/>
      </w:r>
      <w:r>
        <w:rPr>
          <w:color w:val="0083CA"/>
        </w:rPr>
        <w:t>Capital structure</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6"/>
        </w:rPr>
      </w:pPr>
      <w:r>
        <w:rPr/>
        <w:pict>
          <v:line style="position:absolute;mso-position-horizontal-relative:page;mso-position-vertical-relative:paragraph;z-index:-688;mso-wrap-distance-left:0;mso-wrap-distance-right:0" from="28.346399pt,11.681871pt" to="148.818399pt,11.681871pt" stroked="true" strokeweight=".25pt" strokecolor="#231f20">
            <v:stroke dashstyle="solid"/>
            <w10:wrap type="topAndBottom"/>
          </v:line>
        </w:pict>
      </w:r>
      <w:r>
        <w:rPr/>
        <w:pict>
          <v:line style="position:absolute;mso-position-horizontal-relative:page;mso-position-vertical-relative:paragraph;z-index:-664;mso-wrap-distance-left:0;mso-wrap-distance-right:0" from="160.158005pt,11.681871pt" to="280.630005pt,11.681871pt" stroked="true" strokeweight=".25pt" strokecolor="#231f20">
            <v:stroke dashstyle="solid"/>
            <w10:wrap type="topAndBottom"/>
          </v:line>
        </w:pict>
      </w:r>
      <w:r>
        <w:rPr/>
        <w:pict>
          <v:line style="position:absolute;mso-position-horizontal-relative:page;mso-position-vertical-relative:paragraph;z-index:-640;mso-wrap-distance-left:0;mso-wrap-distance-right:0" from="291.967987pt,11.681871pt" to="412.439987pt,11.681871pt" stroked="true" strokeweight=".25pt" strokecolor="#231f20">
            <v:stroke dashstyle="solid"/>
            <w10:wrap type="topAndBottom"/>
          </v:line>
        </w:pict>
      </w:r>
      <w:r>
        <w:rPr/>
        <w:pict>
          <v:line style="position:absolute;mso-position-horizontal-relative:page;mso-position-vertical-relative:paragraph;z-index:-616;mso-wrap-distance-left:0;mso-wrap-distance-right:0" from="423.779999pt,11.681871pt" to="544.251999pt,11.681871pt" stroked="true" strokeweight=".25pt" strokecolor="#231f20">
            <v:stroke dashstyle="solid"/>
            <w10:wrap type="topAndBottom"/>
          </v:line>
        </w:pict>
      </w:r>
    </w:p>
    <w:p>
      <w:pPr>
        <w:pStyle w:val="BodyText"/>
        <w:spacing w:before="5"/>
        <w:rPr>
          <w:sz w:val="14"/>
        </w:rPr>
      </w:pPr>
    </w:p>
    <w:p>
      <w:pPr>
        <w:spacing w:after="0"/>
        <w:rPr>
          <w:sz w:val="14"/>
        </w:rPr>
        <w:sectPr>
          <w:headerReference w:type="even" r:id="rId29"/>
          <w:footerReference w:type="even" r:id="rId30"/>
          <w:footerReference w:type="default" r:id="rId31"/>
          <w:pgSz w:w="11910" w:h="14750"/>
          <w:pgMar w:header="0" w:footer="509" w:top="980" w:bottom="700" w:left="460" w:right="460"/>
          <w:pgNumType w:start="14"/>
        </w:sectPr>
      </w:pPr>
    </w:p>
    <w:p>
      <w:pPr>
        <w:pStyle w:val="Heading3"/>
        <w:numPr>
          <w:ilvl w:val="1"/>
          <w:numId w:val="2"/>
        </w:numPr>
        <w:tabs>
          <w:tab w:pos="561" w:val="left" w:leader="none"/>
        </w:tabs>
        <w:spacing w:line="240" w:lineRule="auto" w:before="109" w:after="0"/>
        <w:ind w:left="560" w:right="0" w:hanging="454"/>
        <w:jc w:val="left"/>
      </w:pPr>
      <w:r>
        <w:rPr>
          <w:color w:val="586670"/>
          <w:w w:val="110"/>
        </w:rPr>
        <w:t>Significant</w:t>
      </w:r>
      <w:r>
        <w:rPr>
          <w:color w:val="586670"/>
          <w:spacing w:val="-7"/>
          <w:w w:val="110"/>
        </w:rPr>
        <w:t> </w:t>
      </w:r>
      <w:r>
        <w:rPr>
          <w:color w:val="586670"/>
          <w:w w:val="110"/>
        </w:rPr>
        <w:t>shareholders</w:t>
      </w:r>
    </w:p>
    <w:p>
      <w:pPr>
        <w:pStyle w:val="BodyText"/>
        <w:spacing w:line="276" w:lineRule="auto" w:before="31"/>
        <w:ind w:left="106" w:right="64"/>
      </w:pPr>
      <w:r>
        <w:rPr>
          <w:color w:val="231F20"/>
        </w:rPr>
        <w:t>During </w:t>
      </w:r>
      <w:r>
        <w:rPr>
          <w:color w:val="231F20"/>
          <w:spacing w:val="-4"/>
        </w:rPr>
        <w:t>2013, </w:t>
      </w:r>
      <w:r>
        <w:rPr>
          <w:color w:val="231F20"/>
        </w:rPr>
        <w:t>the Company published on the electronic publication platform of the SIX Swiss Exchange disclosure notifications</w:t>
      </w:r>
      <w:r>
        <w:rPr>
          <w:color w:val="231F20"/>
          <w:spacing w:val="-7"/>
        </w:rPr>
        <w:t> </w:t>
      </w:r>
      <w:r>
        <w:rPr>
          <w:color w:val="231F20"/>
        </w:rPr>
        <w:t>pertaining</w:t>
      </w:r>
      <w:r>
        <w:rPr>
          <w:color w:val="231F20"/>
          <w:spacing w:val="-6"/>
        </w:rPr>
        <w:t> </w:t>
      </w:r>
      <w:r>
        <w:rPr>
          <w:color w:val="231F20"/>
        </w:rPr>
        <w:t>to</w:t>
      </w:r>
      <w:r>
        <w:rPr>
          <w:color w:val="231F20"/>
          <w:spacing w:val="-6"/>
        </w:rPr>
        <w:t> </w:t>
      </w:r>
      <w:r>
        <w:rPr>
          <w:color w:val="231F20"/>
        </w:rPr>
        <w:t>the</w:t>
      </w:r>
      <w:r>
        <w:rPr>
          <w:color w:val="231F20"/>
          <w:spacing w:val="-6"/>
        </w:rPr>
        <w:t> </w:t>
      </w:r>
      <w:r>
        <w:rPr>
          <w:color w:val="231F20"/>
        </w:rPr>
        <w:t>holding</w:t>
      </w:r>
      <w:r>
        <w:rPr>
          <w:color w:val="231F20"/>
          <w:spacing w:val="-6"/>
        </w:rPr>
        <w:t> </w:t>
      </w:r>
      <w:r>
        <w:rPr>
          <w:color w:val="231F20"/>
        </w:rPr>
        <w:t>of</w:t>
      </w:r>
      <w:r>
        <w:rPr>
          <w:color w:val="231F20"/>
          <w:spacing w:val="-6"/>
        </w:rPr>
        <w:t> </w:t>
      </w:r>
      <w:r>
        <w:rPr>
          <w:color w:val="231F20"/>
        </w:rPr>
        <w:t>Nestlé</w:t>
      </w:r>
      <w:r>
        <w:rPr>
          <w:color w:val="231F20"/>
          <w:spacing w:val="-6"/>
        </w:rPr>
        <w:t> </w:t>
      </w:r>
      <w:r>
        <w:rPr>
          <w:color w:val="231F20"/>
        </w:rPr>
        <w:t>S.A.</w:t>
      </w:r>
      <w:r>
        <w:rPr>
          <w:color w:val="231F20"/>
          <w:spacing w:val="-8"/>
        </w:rPr>
        <w:t> </w:t>
      </w:r>
      <w:r>
        <w:rPr>
          <w:color w:val="231F20"/>
        </w:rPr>
        <w:t>shares</w:t>
      </w:r>
      <w:r>
        <w:rPr>
          <w:color w:val="231F20"/>
          <w:spacing w:val="-4"/>
        </w:rPr>
        <w:t> </w:t>
      </w:r>
      <w:r>
        <w:rPr>
          <w:color w:val="231F20"/>
        </w:rPr>
        <w:t>by Norges Bank (the Central Bank of Norway), Norway. Their holding reached the threshold of </w:t>
      </w:r>
      <w:r>
        <w:rPr>
          <w:color w:val="231F20"/>
          <w:w w:val="105"/>
        </w:rPr>
        <w:t>3% </w:t>
      </w:r>
      <w:r>
        <w:rPr>
          <w:color w:val="231F20"/>
        </w:rPr>
        <w:t>on </w:t>
      </w:r>
      <w:r>
        <w:rPr>
          <w:color w:val="231F20"/>
          <w:spacing w:val="-6"/>
        </w:rPr>
        <w:t>17  </w:t>
      </w:r>
      <w:r>
        <w:rPr>
          <w:color w:val="231F20"/>
        </w:rPr>
        <w:t>June </w:t>
      </w:r>
      <w:r>
        <w:rPr>
          <w:color w:val="231F20"/>
          <w:spacing w:val="-4"/>
        </w:rPr>
        <w:t>2013  </w:t>
      </w:r>
      <w:r>
        <w:rPr>
          <w:color w:val="231F20"/>
        </w:rPr>
        <w:t>and  fell below the threshold of </w:t>
      </w:r>
      <w:r>
        <w:rPr>
          <w:color w:val="231F20"/>
          <w:w w:val="105"/>
        </w:rPr>
        <w:t>3% </w:t>
      </w:r>
      <w:r>
        <w:rPr>
          <w:color w:val="231F20"/>
        </w:rPr>
        <w:t>on 9 July</w:t>
      </w:r>
      <w:r>
        <w:rPr>
          <w:color w:val="231F20"/>
          <w:spacing w:val="9"/>
        </w:rPr>
        <w:t> </w:t>
      </w:r>
      <w:r>
        <w:rPr>
          <w:color w:val="231F20"/>
          <w:spacing w:val="-4"/>
        </w:rPr>
        <w:t>2013.</w:t>
      </w:r>
    </w:p>
    <w:p>
      <w:pPr>
        <w:pStyle w:val="BodyText"/>
        <w:spacing w:line="276" w:lineRule="auto"/>
        <w:ind w:left="106" w:right="72" w:firstLine="226"/>
      </w:pPr>
      <w:r>
        <w:rPr>
          <w:color w:val="231F20"/>
          <w:w w:val="105"/>
        </w:rPr>
        <w:t>With the exception of BlackRock, Inc., New York, which on 17 December 2009 announced holding, together with </w:t>
      </w:r>
      <w:r>
        <w:rPr>
          <w:color w:val="231F20"/>
          <w:w w:val="101"/>
        </w:rPr>
        <w:t>a</w:t>
      </w:r>
      <w:r>
        <w:rPr>
          <w:color w:val="231F20"/>
          <w:w w:val="88"/>
        </w:rPr>
        <w:t>f</w:t>
      </w:r>
      <w:r>
        <w:rPr>
          <w:color w:val="231F20"/>
          <w:w w:val="86"/>
        </w:rPr>
        <w:t>fi</w:t>
      </w:r>
      <w:r>
        <w:rPr>
          <w:color w:val="231F20"/>
          <w:w w:val="81"/>
        </w:rPr>
        <w:t>l</w:t>
      </w:r>
      <w:r>
        <w:rPr>
          <w:color w:val="231F20"/>
          <w:w w:val="83"/>
        </w:rPr>
        <w:t>i</w:t>
      </w:r>
      <w:r>
        <w:rPr>
          <w:color w:val="231F20"/>
          <w:w w:val="101"/>
        </w:rPr>
        <w:t>a</w:t>
      </w:r>
      <w:r>
        <w:rPr>
          <w:color w:val="231F20"/>
          <w:w w:val="83"/>
        </w:rPr>
        <w:t>t</w:t>
      </w:r>
      <w:r>
        <w:rPr>
          <w:color w:val="231F20"/>
          <w:w w:val="100"/>
        </w:rPr>
        <w:t>e</w:t>
      </w:r>
      <w:r>
        <w:rPr>
          <w:color w:val="231F20"/>
          <w:w w:val="121"/>
        </w:rPr>
        <w:t>s</w:t>
      </w:r>
      <w:r>
        <w:rPr>
          <w:color w:val="231F20"/>
          <w:w w:val="78"/>
        </w:rPr>
        <w:t>,</w:t>
      </w:r>
      <w:r>
        <w:rPr>
          <w:color w:val="231F20"/>
        </w:rPr>
        <w:t> </w:t>
      </w:r>
      <w:r>
        <w:rPr>
          <w:color w:val="231F20"/>
          <w:w w:val="107"/>
        </w:rPr>
        <w:t>d</w:t>
      </w:r>
      <w:r>
        <w:rPr>
          <w:color w:val="231F20"/>
          <w:w w:val="87"/>
        </w:rPr>
        <w:t>ir</w:t>
      </w:r>
      <w:r>
        <w:rPr>
          <w:color w:val="231F20"/>
          <w:w w:val="100"/>
        </w:rPr>
        <w:t>e</w:t>
      </w:r>
      <w:r>
        <w:rPr>
          <w:color w:val="231F20"/>
          <w:w w:val="108"/>
        </w:rPr>
        <w:t>c</w:t>
      </w:r>
      <w:r>
        <w:rPr>
          <w:color w:val="231F20"/>
          <w:w w:val="83"/>
        </w:rPr>
        <w:t>t</w:t>
      </w:r>
      <w:r>
        <w:rPr>
          <w:color w:val="231F20"/>
          <w:w w:val="81"/>
        </w:rPr>
        <w:t>l</w:t>
      </w:r>
      <w:r>
        <w:rPr>
          <w:color w:val="231F20"/>
          <w:w w:val="105"/>
        </w:rPr>
        <w:t>y</w:t>
      </w:r>
      <w:r>
        <w:rPr>
          <w:color w:val="231F20"/>
        </w:rPr>
        <w:t> </w:t>
      </w:r>
      <w:r>
        <w:rPr>
          <w:color w:val="231F20"/>
          <w:w w:val="109"/>
        </w:rPr>
        <w:t>o</w:t>
      </w:r>
      <w:r>
        <w:rPr>
          <w:color w:val="231F20"/>
          <w:w w:val="90"/>
        </w:rPr>
        <w:t>r</w:t>
      </w:r>
      <w:r>
        <w:rPr>
          <w:color w:val="231F20"/>
        </w:rPr>
        <w:t> </w:t>
      </w:r>
      <w:r>
        <w:rPr>
          <w:color w:val="231F20"/>
          <w:w w:val="99"/>
        </w:rPr>
        <w:t>in</w:t>
      </w:r>
      <w:r>
        <w:rPr>
          <w:color w:val="231F20"/>
          <w:w w:val="107"/>
        </w:rPr>
        <w:t>d</w:t>
      </w:r>
      <w:r>
        <w:rPr>
          <w:color w:val="231F20"/>
          <w:w w:val="87"/>
        </w:rPr>
        <w:t>ir</w:t>
      </w:r>
      <w:r>
        <w:rPr>
          <w:color w:val="231F20"/>
          <w:w w:val="100"/>
        </w:rPr>
        <w:t>e</w:t>
      </w:r>
      <w:r>
        <w:rPr>
          <w:color w:val="231F20"/>
          <w:w w:val="108"/>
        </w:rPr>
        <w:t>c</w:t>
      </w:r>
      <w:r>
        <w:rPr>
          <w:color w:val="231F20"/>
          <w:w w:val="83"/>
        </w:rPr>
        <w:t>t</w:t>
      </w:r>
      <w:r>
        <w:rPr>
          <w:color w:val="231F20"/>
          <w:w w:val="81"/>
        </w:rPr>
        <w:t>l</w:t>
      </w:r>
      <w:r>
        <w:rPr>
          <w:color w:val="231F20"/>
          <w:w w:val="105"/>
        </w:rPr>
        <w:t>y</w:t>
      </w:r>
      <w:r>
        <w:rPr>
          <w:color w:val="231F20"/>
        </w:rPr>
        <w:t> </w:t>
      </w:r>
      <w:r>
        <w:rPr>
          <w:color w:val="231F20"/>
          <w:w w:val="109"/>
        </w:rPr>
        <w:t>3</w:t>
      </w:r>
      <w:r>
        <w:rPr>
          <w:color w:val="231F20"/>
          <w:w w:val="78"/>
        </w:rPr>
        <w:t>.</w:t>
      </w:r>
      <w:r>
        <w:rPr>
          <w:color w:val="231F20"/>
          <w:w w:val="109"/>
        </w:rPr>
        <w:t>7</w:t>
      </w:r>
      <w:r>
        <w:rPr>
          <w:color w:val="231F20"/>
          <w:w w:val="156"/>
        </w:rPr>
        <w:t>%</w:t>
      </w:r>
      <w:r>
        <w:rPr>
          <w:color w:val="231F20"/>
        </w:rPr>
        <w:t> </w:t>
      </w:r>
      <w:r>
        <w:rPr>
          <w:color w:val="231F20"/>
          <w:w w:val="109"/>
        </w:rPr>
        <w:t>o</w:t>
      </w:r>
      <w:r>
        <w:rPr>
          <w:color w:val="231F20"/>
          <w:w w:val="88"/>
        </w:rPr>
        <w:t>f</w:t>
      </w:r>
      <w:r>
        <w:rPr>
          <w:color w:val="231F20"/>
        </w:rPr>
        <w:t> </w:t>
      </w:r>
      <w:r>
        <w:rPr>
          <w:color w:val="231F20"/>
          <w:w w:val="119"/>
        </w:rPr>
        <w:t>N</w:t>
      </w:r>
      <w:r>
        <w:rPr>
          <w:color w:val="231F20"/>
          <w:w w:val="100"/>
        </w:rPr>
        <w:t>e</w:t>
      </w:r>
      <w:r>
        <w:rPr>
          <w:color w:val="231F20"/>
          <w:w w:val="121"/>
        </w:rPr>
        <w:t>s</w:t>
      </w:r>
      <w:r>
        <w:rPr>
          <w:color w:val="231F20"/>
          <w:w w:val="83"/>
        </w:rPr>
        <w:t>t</w:t>
      </w:r>
      <w:r>
        <w:rPr>
          <w:color w:val="231F20"/>
          <w:w w:val="81"/>
        </w:rPr>
        <w:t>l</w:t>
      </w:r>
      <w:r>
        <w:rPr>
          <w:color w:val="231F20"/>
          <w:w w:val="100"/>
        </w:rPr>
        <w:t>é</w:t>
      </w:r>
      <w:r>
        <w:rPr>
          <w:color w:val="231F20"/>
        </w:rPr>
        <w:t> </w:t>
      </w:r>
      <w:r>
        <w:rPr>
          <w:color w:val="231F20"/>
          <w:w w:val="131"/>
        </w:rPr>
        <w:t>S</w:t>
      </w:r>
      <w:r>
        <w:rPr>
          <w:color w:val="231F20"/>
          <w:w w:val="78"/>
        </w:rPr>
        <w:t>.</w:t>
      </w:r>
      <w:r>
        <w:rPr>
          <w:color w:val="231F20"/>
          <w:w w:val="120"/>
        </w:rPr>
        <w:t>A</w:t>
      </w:r>
      <w:r>
        <w:rPr>
          <w:color w:val="231F20"/>
          <w:w w:val="78"/>
        </w:rPr>
        <w:t>.</w:t>
      </w:r>
      <w:r>
        <w:rPr>
          <w:color w:val="231F20"/>
          <w:w w:val="64"/>
        </w:rPr>
        <w:t>’</w:t>
      </w:r>
      <w:r>
        <w:rPr>
          <w:color w:val="231F20"/>
          <w:w w:val="121"/>
        </w:rPr>
        <w:t>s</w:t>
      </w:r>
      <w:r>
        <w:rPr>
          <w:color w:val="231F20"/>
        </w:rPr>
        <w:t> </w:t>
      </w:r>
      <w:r>
        <w:rPr>
          <w:color w:val="231F20"/>
          <w:w w:val="121"/>
        </w:rPr>
        <w:t>s</w:t>
      </w:r>
      <w:r>
        <w:rPr>
          <w:color w:val="231F20"/>
          <w:w w:val="108"/>
        </w:rPr>
        <w:t>h</w:t>
      </w:r>
      <w:r>
        <w:rPr>
          <w:color w:val="231F20"/>
          <w:w w:val="101"/>
        </w:rPr>
        <w:t>a</w:t>
      </w:r>
      <w:r>
        <w:rPr>
          <w:color w:val="231F20"/>
          <w:w w:val="90"/>
        </w:rPr>
        <w:t>r</w:t>
      </w:r>
      <w:r>
        <w:rPr>
          <w:color w:val="231F20"/>
          <w:w w:val="100"/>
        </w:rPr>
        <w:t>e </w:t>
      </w:r>
      <w:r>
        <w:rPr>
          <w:color w:val="231F20"/>
          <w:w w:val="105"/>
        </w:rPr>
        <w:t>capital at that time, Nestlé S.A. is not aware of any shareholder holding Nestlé S.A. shares in excess of 3%</w:t>
      </w:r>
    </w:p>
    <w:p>
      <w:pPr>
        <w:pStyle w:val="BodyText"/>
        <w:spacing w:line="207" w:lineRule="exact"/>
        <w:ind w:left="106"/>
      </w:pPr>
      <w:r>
        <w:rPr>
          <w:color w:val="231F20"/>
        </w:rPr>
        <w:t>of the share capital.</w:t>
      </w:r>
    </w:p>
    <w:p>
      <w:pPr>
        <w:pStyle w:val="BodyText"/>
        <w:spacing w:line="276" w:lineRule="auto" w:before="28"/>
        <w:ind w:left="106" w:right="72" w:firstLine="226"/>
      </w:pPr>
      <w:r>
        <w:rPr>
          <w:color w:val="231F20"/>
        </w:rPr>
        <w:t>With respect to nominees, Chase Nominees Ltd, London, was a registered Nominee N (refer to point 2.6.3. below)</w:t>
      </w:r>
    </w:p>
    <w:p>
      <w:pPr>
        <w:pStyle w:val="BodyText"/>
        <w:spacing w:line="276" w:lineRule="auto"/>
        <w:ind w:left="106" w:right="226"/>
      </w:pPr>
      <w:r>
        <w:rPr>
          <w:color w:val="231F20"/>
        </w:rPr>
        <w:t>of </w:t>
      </w:r>
      <w:r>
        <w:rPr>
          <w:color w:val="231F20"/>
          <w:spacing w:val="2"/>
        </w:rPr>
        <w:t>364 </w:t>
      </w:r>
      <w:r>
        <w:rPr>
          <w:color w:val="231F20"/>
        </w:rPr>
        <w:t>222 921 shares, i.e. </w:t>
      </w:r>
      <w:r>
        <w:rPr>
          <w:color w:val="231F20"/>
          <w:spacing w:val="-6"/>
        </w:rPr>
        <w:t>11.3% </w:t>
      </w:r>
      <w:r>
        <w:rPr>
          <w:color w:val="231F20"/>
        </w:rPr>
        <w:t>of the shares of the Company as at </w:t>
      </w:r>
      <w:r>
        <w:rPr>
          <w:color w:val="231F20"/>
          <w:spacing w:val="-3"/>
        </w:rPr>
        <w:t>31 </w:t>
      </w:r>
      <w:r>
        <w:rPr>
          <w:color w:val="231F20"/>
        </w:rPr>
        <w:t>December </w:t>
      </w:r>
      <w:r>
        <w:rPr>
          <w:color w:val="231F20"/>
          <w:spacing w:val="-4"/>
        </w:rPr>
        <w:t>2013. </w:t>
      </w:r>
      <w:r>
        <w:rPr>
          <w:color w:val="231F20"/>
        </w:rPr>
        <w:t>At the same date,  Citibank N.A., London, as depositary for the shares represented by American Depositary Receipts, was the registered holder of 243 575 492 shares, i.e. </w:t>
      </w:r>
      <w:r>
        <w:rPr>
          <w:color w:val="231F20"/>
          <w:spacing w:val="-5"/>
        </w:rPr>
        <w:t>7.6% </w:t>
      </w:r>
      <w:r>
        <w:rPr>
          <w:color w:val="231F20"/>
        </w:rPr>
        <w:t>of the shares of the Company. Also  on  </w:t>
      </w:r>
      <w:r>
        <w:rPr>
          <w:color w:val="231F20"/>
          <w:spacing w:val="-3"/>
        </w:rPr>
        <w:t>31  </w:t>
      </w:r>
      <w:r>
        <w:rPr>
          <w:color w:val="231F20"/>
        </w:rPr>
        <w:t>December  </w:t>
      </w:r>
      <w:r>
        <w:rPr>
          <w:color w:val="231F20"/>
          <w:spacing w:val="-4"/>
        </w:rPr>
        <w:t>2013, </w:t>
      </w:r>
      <w:r>
        <w:rPr>
          <w:color w:val="231F20"/>
        </w:rPr>
        <w:t>Nortrust Nominees Ltd, London, was a registered Nominee    N of </w:t>
      </w:r>
      <w:r>
        <w:rPr>
          <w:color w:val="231F20"/>
          <w:spacing w:val="-10"/>
        </w:rPr>
        <w:t>114 </w:t>
      </w:r>
      <w:r>
        <w:rPr>
          <w:color w:val="231F20"/>
          <w:spacing w:val="-2"/>
        </w:rPr>
        <w:t>199  </w:t>
      </w:r>
      <w:r>
        <w:rPr>
          <w:color w:val="231F20"/>
          <w:spacing w:val="2"/>
        </w:rPr>
        <w:t>949 </w:t>
      </w:r>
      <w:r>
        <w:rPr>
          <w:color w:val="231F20"/>
        </w:rPr>
        <w:t>shares of the Company, representing 3.6%  of the shares. Further, Mellon Bank N.A., Everett,</w:t>
      </w:r>
      <w:r>
        <w:rPr>
          <w:color w:val="231F20"/>
          <w:spacing w:val="20"/>
        </w:rPr>
        <w:t> </w:t>
      </w:r>
      <w:r>
        <w:rPr>
          <w:color w:val="231F20"/>
        </w:rPr>
        <w:t>was</w:t>
      </w:r>
    </w:p>
    <w:p>
      <w:pPr>
        <w:pStyle w:val="BodyText"/>
        <w:spacing w:line="276" w:lineRule="auto"/>
        <w:ind w:left="106" w:right="181"/>
      </w:pPr>
      <w:r>
        <w:rPr>
          <w:color w:val="231F20"/>
          <w:w w:val="105"/>
        </w:rPr>
        <w:t>a registered Nominee N of 100 408 608 shares, i.e. 3.1% of the shares of the Company as at 31 December 2013.</w:t>
      </w:r>
    </w:p>
    <w:p>
      <w:pPr>
        <w:pStyle w:val="BodyText"/>
        <w:spacing w:before="3"/>
        <w:rPr>
          <w:sz w:val="20"/>
        </w:rPr>
      </w:pPr>
    </w:p>
    <w:p>
      <w:pPr>
        <w:pStyle w:val="Heading3"/>
        <w:numPr>
          <w:ilvl w:val="1"/>
          <w:numId w:val="2"/>
        </w:numPr>
        <w:tabs>
          <w:tab w:pos="561" w:val="left" w:leader="none"/>
        </w:tabs>
        <w:spacing w:line="240" w:lineRule="auto" w:before="1" w:after="0"/>
        <w:ind w:left="560" w:right="0" w:hanging="454"/>
        <w:jc w:val="left"/>
      </w:pPr>
      <w:r>
        <w:rPr>
          <w:color w:val="586670"/>
          <w:w w:val="110"/>
        </w:rPr>
        <w:t>Cross-shareholdings</w:t>
      </w:r>
    </w:p>
    <w:p>
      <w:pPr>
        <w:pStyle w:val="BodyText"/>
        <w:spacing w:line="276" w:lineRule="auto" w:before="31"/>
        <w:ind w:left="106" w:right="129"/>
      </w:pPr>
      <w:r>
        <w:rPr>
          <w:color w:val="231F20"/>
          <w:w w:val="105"/>
        </w:rPr>
        <w:t>The Company is not aware of cross-shareholdings exceeding 5% of the capital or voting rights on both sides.</w:t>
      </w:r>
    </w:p>
    <w:p>
      <w:pPr>
        <w:pStyle w:val="Heading3"/>
        <w:numPr>
          <w:ilvl w:val="0"/>
          <w:numId w:val="2"/>
        </w:numPr>
        <w:tabs>
          <w:tab w:pos="560" w:val="left" w:leader="none"/>
          <w:tab w:pos="561" w:val="left" w:leader="none"/>
        </w:tabs>
        <w:spacing w:line="240" w:lineRule="auto" w:before="109" w:after="0"/>
        <w:ind w:left="560" w:right="0" w:hanging="454"/>
        <w:jc w:val="left"/>
      </w:pPr>
      <w:r>
        <w:rPr>
          <w:color w:val="231F20"/>
          <w:spacing w:val="2"/>
          <w:w w:val="120"/>
        </w:rPr>
        <w:br w:type="column"/>
      </w:r>
      <w:r>
        <w:rPr>
          <w:color w:val="231F20"/>
          <w:w w:val="105"/>
        </w:rPr>
        <w:t>Capital</w:t>
      </w:r>
      <w:r>
        <w:rPr>
          <w:color w:val="231F20"/>
          <w:spacing w:val="47"/>
          <w:w w:val="105"/>
        </w:rPr>
        <w:t> </w:t>
      </w:r>
      <w:r>
        <w:rPr>
          <w:color w:val="231F20"/>
          <w:w w:val="105"/>
        </w:rPr>
        <w:t>structure</w:t>
      </w:r>
    </w:p>
    <w:p>
      <w:pPr>
        <w:pStyle w:val="ListParagraph"/>
        <w:numPr>
          <w:ilvl w:val="1"/>
          <w:numId w:val="2"/>
        </w:numPr>
        <w:tabs>
          <w:tab w:pos="561" w:val="left" w:leader="none"/>
        </w:tabs>
        <w:spacing w:line="240" w:lineRule="auto" w:before="31" w:after="0"/>
        <w:ind w:left="1014" w:right="0" w:hanging="908"/>
        <w:jc w:val="left"/>
        <w:rPr>
          <w:b/>
          <w:sz w:val="18"/>
        </w:rPr>
      </w:pPr>
      <w:r>
        <w:rPr>
          <w:b/>
          <w:color w:val="586670"/>
          <w:w w:val="105"/>
          <w:sz w:val="18"/>
        </w:rPr>
        <w:t>Capital</w:t>
      </w:r>
    </w:p>
    <w:p>
      <w:pPr>
        <w:pStyle w:val="BodyText"/>
        <w:spacing w:line="276" w:lineRule="auto" w:before="31"/>
        <w:ind w:left="106" w:right="579"/>
        <w:jc w:val="both"/>
      </w:pPr>
      <w:r>
        <w:rPr>
          <w:color w:val="231F20"/>
        </w:rPr>
        <w:t>The ordinary share capital of Nestlé S.A. is CHF 322 480 000. The conditional share capital is CHF 10 000 000. Nestlé S.A. does not have any authorised share capital.</w:t>
      </w:r>
    </w:p>
    <w:p>
      <w:pPr>
        <w:pStyle w:val="BodyText"/>
        <w:spacing w:before="6"/>
        <w:rPr>
          <w:sz w:val="20"/>
        </w:rPr>
      </w:pPr>
    </w:p>
    <w:p>
      <w:pPr>
        <w:pStyle w:val="Heading3"/>
        <w:numPr>
          <w:ilvl w:val="1"/>
          <w:numId w:val="2"/>
        </w:numPr>
        <w:tabs>
          <w:tab w:pos="561" w:val="left" w:leader="none"/>
        </w:tabs>
        <w:spacing w:line="240" w:lineRule="auto" w:before="0" w:after="0"/>
        <w:ind w:left="1014" w:right="0" w:hanging="908"/>
        <w:jc w:val="left"/>
      </w:pPr>
      <w:r>
        <w:rPr>
          <w:color w:val="586670"/>
          <w:w w:val="105"/>
        </w:rPr>
        <w:t>Conditional</w:t>
      </w:r>
      <w:r>
        <w:rPr>
          <w:color w:val="586670"/>
          <w:spacing w:val="-4"/>
          <w:w w:val="105"/>
        </w:rPr>
        <w:t> </w:t>
      </w:r>
      <w:r>
        <w:rPr>
          <w:color w:val="586670"/>
          <w:w w:val="105"/>
        </w:rPr>
        <w:t>capital</w:t>
      </w:r>
    </w:p>
    <w:p>
      <w:pPr>
        <w:pStyle w:val="BodyText"/>
        <w:spacing w:line="276" w:lineRule="auto" w:before="31"/>
        <w:ind w:left="106" w:right="595"/>
      </w:pPr>
      <w:r>
        <w:rPr>
          <w:color w:val="231F20"/>
          <w:w w:val="105"/>
        </w:rPr>
        <w:t>The share capital may be increased in an amount not to exceed CHF </w:t>
      </w:r>
      <w:r>
        <w:rPr>
          <w:color w:val="231F20"/>
          <w:spacing w:val="-5"/>
          <w:w w:val="105"/>
        </w:rPr>
        <w:t>10 </w:t>
      </w:r>
      <w:r>
        <w:rPr>
          <w:color w:val="231F20"/>
          <w:spacing w:val="2"/>
          <w:w w:val="105"/>
        </w:rPr>
        <w:t>000 000 </w:t>
      </w:r>
      <w:r>
        <w:rPr>
          <w:color w:val="231F20"/>
          <w:w w:val="105"/>
        </w:rPr>
        <w:t>by issuing up to 100 </w:t>
      </w:r>
      <w:r>
        <w:rPr>
          <w:color w:val="231F20"/>
          <w:spacing w:val="2"/>
          <w:w w:val="105"/>
        </w:rPr>
        <w:t>000 000 </w:t>
      </w:r>
      <w:r>
        <w:rPr>
          <w:color w:val="231F20"/>
          <w:w w:val="105"/>
        </w:rPr>
        <w:t>registered shares with a nominal value of CHF </w:t>
      </w:r>
      <w:r>
        <w:rPr>
          <w:color w:val="231F20"/>
          <w:spacing w:val="-8"/>
          <w:w w:val="105"/>
        </w:rPr>
        <w:t>0.10 </w:t>
      </w:r>
      <w:r>
        <w:rPr>
          <w:color w:val="231F20"/>
          <w:w w:val="105"/>
        </w:rPr>
        <w:t>each through</w:t>
      </w:r>
      <w:r>
        <w:rPr>
          <w:color w:val="231F20"/>
          <w:spacing w:val="-31"/>
          <w:w w:val="105"/>
        </w:rPr>
        <w:t> </w:t>
      </w:r>
      <w:r>
        <w:rPr>
          <w:color w:val="231F20"/>
          <w:w w:val="105"/>
        </w:rPr>
        <w:t>the</w:t>
      </w:r>
      <w:r>
        <w:rPr>
          <w:color w:val="231F20"/>
          <w:spacing w:val="-31"/>
          <w:w w:val="105"/>
        </w:rPr>
        <w:t> </w:t>
      </w:r>
      <w:r>
        <w:rPr>
          <w:color w:val="231F20"/>
          <w:w w:val="105"/>
        </w:rPr>
        <w:t>exercise</w:t>
      </w:r>
      <w:r>
        <w:rPr>
          <w:color w:val="231F20"/>
          <w:spacing w:val="-31"/>
          <w:w w:val="105"/>
        </w:rPr>
        <w:t> </w:t>
      </w:r>
      <w:r>
        <w:rPr>
          <w:color w:val="231F20"/>
          <w:w w:val="105"/>
        </w:rPr>
        <w:t>of</w:t>
      </w:r>
      <w:r>
        <w:rPr>
          <w:color w:val="231F20"/>
          <w:spacing w:val="-31"/>
          <w:w w:val="105"/>
        </w:rPr>
        <w:t> </w:t>
      </w:r>
      <w:r>
        <w:rPr>
          <w:color w:val="231F20"/>
          <w:w w:val="105"/>
        </w:rPr>
        <w:t>conversion</w:t>
      </w:r>
      <w:r>
        <w:rPr>
          <w:color w:val="231F20"/>
          <w:spacing w:val="-31"/>
          <w:w w:val="105"/>
        </w:rPr>
        <w:t> </w:t>
      </w:r>
      <w:r>
        <w:rPr>
          <w:color w:val="231F20"/>
          <w:w w:val="105"/>
        </w:rPr>
        <w:t>rights</w:t>
      </w:r>
      <w:r>
        <w:rPr>
          <w:color w:val="231F20"/>
          <w:spacing w:val="-30"/>
          <w:w w:val="105"/>
        </w:rPr>
        <w:t> </w:t>
      </w:r>
      <w:r>
        <w:rPr>
          <w:color w:val="231F20"/>
          <w:w w:val="105"/>
        </w:rPr>
        <w:t>and/or</w:t>
      </w:r>
      <w:r>
        <w:rPr>
          <w:color w:val="231F20"/>
          <w:spacing w:val="-31"/>
          <w:w w:val="105"/>
        </w:rPr>
        <w:t> </w:t>
      </w:r>
      <w:r>
        <w:rPr>
          <w:color w:val="231F20"/>
          <w:w w:val="105"/>
        </w:rPr>
        <w:t>option</w:t>
      </w:r>
      <w:r>
        <w:rPr>
          <w:color w:val="231F20"/>
          <w:spacing w:val="-31"/>
          <w:w w:val="105"/>
        </w:rPr>
        <w:t> </w:t>
      </w:r>
      <w:r>
        <w:rPr>
          <w:color w:val="231F20"/>
          <w:w w:val="105"/>
        </w:rPr>
        <w:t>rights granted</w:t>
      </w:r>
      <w:r>
        <w:rPr>
          <w:color w:val="231F20"/>
          <w:spacing w:val="-8"/>
          <w:w w:val="105"/>
        </w:rPr>
        <w:t> </w:t>
      </w:r>
      <w:r>
        <w:rPr>
          <w:color w:val="231F20"/>
          <w:w w:val="105"/>
        </w:rPr>
        <w:t>in</w:t>
      </w:r>
      <w:r>
        <w:rPr>
          <w:color w:val="231F20"/>
          <w:spacing w:val="-8"/>
          <w:w w:val="105"/>
        </w:rPr>
        <w:t> </w:t>
      </w:r>
      <w:r>
        <w:rPr>
          <w:color w:val="231F20"/>
          <w:w w:val="105"/>
        </w:rPr>
        <w:t>connection</w:t>
      </w:r>
      <w:r>
        <w:rPr>
          <w:color w:val="231F20"/>
          <w:spacing w:val="-8"/>
          <w:w w:val="105"/>
        </w:rPr>
        <w:t> </w:t>
      </w:r>
      <w:r>
        <w:rPr>
          <w:color w:val="231F20"/>
          <w:w w:val="105"/>
        </w:rPr>
        <w:t>with</w:t>
      </w:r>
      <w:r>
        <w:rPr>
          <w:color w:val="231F20"/>
          <w:spacing w:val="-8"/>
          <w:w w:val="105"/>
        </w:rPr>
        <w:t> </w:t>
      </w:r>
      <w:r>
        <w:rPr>
          <w:color w:val="231F20"/>
          <w:w w:val="105"/>
        </w:rPr>
        <w:t>the</w:t>
      </w:r>
      <w:r>
        <w:rPr>
          <w:color w:val="231F20"/>
          <w:spacing w:val="-8"/>
          <w:w w:val="105"/>
        </w:rPr>
        <w:t> </w:t>
      </w:r>
      <w:r>
        <w:rPr>
          <w:color w:val="231F20"/>
          <w:w w:val="105"/>
        </w:rPr>
        <w:t>issuance</w:t>
      </w:r>
      <w:r>
        <w:rPr>
          <w:color w:val="231F20"/>
          <w:spacing w:val="-7"/>
          <w:w w:val="105"/>
        </w:rPr>
        <w:t> </w:t>
      </w:r>
      <w:r>
        <w:rPr>
          <w:color w:val="231F20"/>
          <w:w w:val="105"/>
        </w:rPr>
        <w:t>by</w:t>
      </w:r>
      <w:r>
        <w:rPr>
          <w:color w:val="231F20"/>
          <w:spacing w:val="-8"/>
          <w:w w:val="105"/>
        </w:rPr>
        <w:t> </w:t>
      </w:r>
      <w:r>
        <w:rPr>
          <w:color w:val="231F20"/>
          <w:w w:val="105"/>
        </w:rPr>
        <w:t>Nestlé</w:t>
      </w:r>
      <w:r>
        <w:rPr>
          <w:color w:val="231F20"/>
          <w:spacing w:val="-8"/>
          <w:w w:val="105"/>
        </w:rPr>
        <w:t> </w:t>
      </w:r>
      <w:r>
        <w:rPr>
          <w:color w:val="231F20"/>
          <w:w w:val="105"/>
        </w:rPr>
        <w:t>or</w:t>
      </w:r>
      <w:r>
        <w:rPr>
          <w:color w:val="231F20"/>
          <w:spacing w:val="-8"/>
          <w:w w:val="105"/>
        </w:rPr>
        <w:t> </w:t>
      </w:r>
      <w:r>
        <w:rPr>
          <w:color w:val="231F20"/>
          <w:w w:val="105"/>
        </w:rPr>
        <w:t>one</w:t>
      </w:r>
    </w:p>
    <w:p>
      <w:pPr>
        <w:pStyle w:val="BodyText"/>
        <w:spacing w:line="276" w:lineRule="auto"/>
        <w:ind w:left="106" w:right="595"/>
      </w:pPr>
      <w:r>
        <w:rPr>
          <w:color w:val="231F20"/>
        </w:rPr>
        <w:t>of its subsidiaries of newly or already issued convertible debentures, debentures with option rights or other financial market instruments. Thus the Board of Directors has at its disposal a flexible instrument enabling it, if necessary, to finance the activities of the Company through convertible debentures.</w:t>
      </w:r>
    </w:p>
    <w:p>
      <w:pPr>
        <w:pStyle w:val="BodyText"/>
        <w:spacing w:line="273" w:lineRule="auto"/>
        <w:ind w:left="106" w:right="684" w:firstLine="226"/>
      </w:pPr>
      <w:r>
        <w:rPr>
          <w:color w:val="231F20"/>
        </w:rPr>
        <w:t>For a description of the group of beneficiaries and of the terms and conditions of the issue of conditional capital, refer</w:t>
      </w:r>
      <w:r>
        <w:rPr>
          <w:color w:val="231F20"/>
          <w:spacing w:val="6"/>
        </w:rPr>
        <w:t> </w:t>
      </w:r>
      <w:r>
        <w:rPr>
          <w:color w:val="231F20"/>
        </w:rPr>
        <w:t>to</w:t>
      </w:r>
      <w:r>
        <w:rPr>
          <w:color w:val="231F20"/>
          <w:spacing w:val="7"/>
        </w:rPr>
        <w:t> </w:t>
      </w:r>
      <w:r>
        <w:rPr>
          <w:color w:val="231F20"/>
        </w:rPr>
        <w:t>art.</w:t>
      </w:r>
      <w:r>
        <w:rPr>
          <w:color w:val="231F20"/>
          <w:spacing w:val="6"/>
        </w:rPr>
        <w:t> </w:t>
      </w:r>
      <w:r>
        <w:rPr>
          <w:color w:val="231F20"/>
        </w:rPr>
        <w:t>3</w:t>
      </w:r>
      <w:r>
        <w:rPr>
          <w:color w:val="231F20"/>
          <w:position w:val="5"/>
          <w:sz w:val="13"/>
        </w:rPr>
        <w:t>bis</w:t>
      </w:r>
      <w:r>
        <w:rPr>
          <w:color w:val="231F20"/>
          <w:spacing w:val="4"/>
          <w:position w:val="5"/>
          <w:sz w:val="13"/>
        </w:rPr>
        <w:t> </w:t>
      </w:r>
      <w:r>
        <w:rPr>
          <w:color w:val="231F20"/>
        </w:rPr>
        <w:t>of</w:t>
      </w:r>
      <w:r>
        <w:rPr>
          <w:color w:val="231F20"/>
          <w:spacing w:val="6"/>
        </w:rPr>
        <w:t> </w:t>
      </w:r>
      <w:r>
        <w:rPr>
          <w:color w:val="231F20"/>
        </w:rPr>
        <w:t>the</w:t>
      </w:r>
      <w:r>
        <w:rPr>
          <w:color w:val="231F20"/>
          <w:spacing w:val="7"/>
        </w:rPr>
        <w:t> </w:t>
      </w:r>
      <w:r>
        <w:rPr>
          <w:color w:val="231F20"/>
        </w:rPr>
        <w:t>Articles</w:t>
      </w:r>
      <w:r>
        <w:rPr>
          <w:color w:val="231F20"/>
          <w:spacing w:val="6"/>
        </w:rPr>
        <w:t> </w:t>
      </w:r>
      <w:r>
        <w:rPr>
          <w:color w:val="231F20"/>
        </w:rPr>
        <w:t>of</w:t>
      </w:r>
      <w:r>
        <w:rPr>
          <w:color w:val="231F20"/>
          <w:spacing w:val="7"/>
        </w:rPr>
        <w:t> </w:t>
      </w:r>
      <w:r>
        <w:rPr>
          <w:color w:val="231F20"/>
        </w:rPr>
        <w:t>Association</w:t>
      </w:r>
      <w:r>
        <w:rPr>
          <w:color w:val="231F20"/>
          <w:spacing w:val="6"/>
        </w:rPr>
        <w:t> </w:t>
      </w:r>
      <w:r>
        <w:rPr>
          <w:color w:val="231F20"/>
        </w:rPr>
        <w:t>of</w:t>
      </w:r>
      <w:r>
        <w:rPr>
          <w:color w:val="231F20"/>
          <w:spacing w:val="7"/>
        </w:rPr>
        <w:t> </w:t>
      </w:r>
      <w:r>
        <w:rPr>
          <w:color w:val="231F20"/>
        </w:rPr>
        <w:t>Nestlé</w:t>
      </w:r>
      <w:r>
        <w:rPr>
          <w:color w:val="231F20"/>
          <w:spacing w:val="6"/>
        </w:rPr>
        <w:t> </w:t>
      </w:r>
      <w:r>
        <w:rPr>
          <w:color w:val="231F20"/>
        </w:rPr>
        <w:t>S.A.</w:t>
      </w:r>
    </w:p>
    <w:p>
      <w:pPr>
        <w:pStyle w:val="BodyText"/>
        <w:spacing w:before="6"/>
        <w:rPr>
          <w:sz w:val="20"/>
        </w:rPr>
      </w:pPr>
    </w:p>
    <w:p>
      <w:pPr>
        <w:pStyle w:val="Heading3"/>
        <w:numPr>
          <w:ilvl w:val="1"/>
          <w:numId w:val="2"/>
        </w:numPr>
        <w:tabs>
          <w:tab w:pos="561" w:val="left" w:leader="none"/>
        </w:tabs>
        <w:spacing w:line="240" w:lineRule="auto" w:before="0" w:after="0"/>
        <w:ind w:left="1014" w:right="0" w:hanging="908"/>
        <w:jc w:val="left"/>
      </w:pPr>
      <w:r>
        <w:rPr>
          <w:color w:val="586670"/>
          <w:w w:val="110"/>
        </w:rPr>
        <w:t>Changes in</w:t>
      </w:r>
      <w:r>
        <w:rPr>
          <w:color w:val="586670"/>
          <w:spacing w:val="11"/>
          <w:w w:val="110"/>
        </w:rPr>
        <w:t> </w:t>
      </w:r>
      <w:r>
        <w:rPr>
          <w:color w:val="586670"/>
          <w:w w:val="110"/>
        </w:rPr>
        <w:t>capital</w:t>
      </w:r>
    </w:p>
    <w:p>
      <w:pPr>
        <w:pStyle w:val="BodyText"/>
        <w:spacing w:line="276" w:lineRule="auto" w:before="31"/>
        <w:ind w:left="106" w:right="611"/>
      </w:pPr>
      <w:r>
        <w:rPr>
          <w:color w:val="231F20"/>
        </w:rPr>
        <w:t>The share capital was reduced twice in the last three financial years as a consequence of Share Buy-Back Programmes launched by the Company; the resulting cancellations of shares were approved at the Annual General Meetings of </w:t>
      </w:r>
      <w:r>
        <w:rPr>
          <w:color w:val="231F20"/>
          <w:spacing w:val="-6"/>
        </w:rPr>
        <w:t>14 </w:t>
      </w:r>
      <w:r>
        <w:rPr>
          <w:color w:val="231F20"/>
        </w:rPr>
        <w:t>April </w:t>
      </w:r>
      <w:r>
        <w:rPr>
          <w:color w:val="231F20"/>
          <w:spacing w:val="-7"/>
        </w:rPr>
        <w:t>2011 </w:t>
      </w:r>
      <w:r>
        <w:rPr>
          <w:color w:val="231F20"/>
        </w:rPr>
        <w:t>and </w:t>
      </w:r>
      <w:r>
        <w:rPr>
          <w:color w:val="231F20"/>
          <w:spacing w:val="-5"/>
        </w:rPr>
        <w:t>19 </w:t>
      </w:r>
      <w:r>
        <w:rPr>
          <w:color w:val="231F20"/>
        </w:rPr>
        <w:t>April</w:t>
      </w:r>
      <w:r>
        <w:rPr>
          <w:color w:val="231F20"/>
          <w:spacing w:val="44"/>
        </w:rPr>
        <w:t> </w:t>
      </w:r>
      <w:r>
        <w:rPr>
          <w:color w:val="231F20"/>
          <w:spacing w:val="-5"/>
        </w:rPr>
        <w:t>2012.</w:t>
      </w:r>
    </w:p>
    <w:p>
      <w:pPr>
        <w:pStyle w:val="BodyText"/>
        <w:spacing w:line="207" w:lineRule="exact"/>
        <w:ind w:left="333"/>
      </w:pPr>
      <w:r>
        <w:rPr>
          <w:color w:val="231F20"/>
          <w:w w:val="105"/>
        </w:rPr>
        <w:t>In 2011, the share capital was reduced by 165 000 000</w:t>
      </w:r>
    </w:p>
    <w:p>
      <w:pPr>
        <w:pStyle w:val="BodyText"/>
        <w:spacing w:before="31"/>
        <w:ind w:left="106"/>
      </w:pPr>
      <w:r>
        <w:rPr>
          <w:color w:val="231F20"/>
          <w:w w:val="105"/>
        </w:rPr>
        <w:t>shares to CHF 330 000 000.</w:t>
      </w:r>
    </w:p>
    <w:p>
      <w:pPr>
        <w:pStyle w:val="BodyText"/>
        <w:spacing w:line="276" w:lineRule="auto" w:before="31"/>
        <w:ind w:left="106" w:right="714" w:firstLine="226"/>
      </w:pPr>
      <w:r>
        <w:rPr>
          <w:color w:val="231F20"/>
          <w:w w:val="105"/>
        </w:rPr>
        <w:t>In</w:t>
      </w:r>
      <w:r>
        <w:rPr>
          <w:color w:val="231F20"/>
          <w:spacing w:val="-11"/>
          <w:w w:val="105"/>
        </w:rPr>
        <w:t> </w:t>
      </w:r>
      <w:r>
        <w:rPr>
          <w:color w:val="231F20"/>
          <w:spacing w:val="-5"/>
          <w:w w:val="105"/>
        </w:rPr>
        <w:t>2012,</w:t>
      </w:r>
      <w:r>
        <w:rPr>
          <w:color w:val="231F20"/>
          <w:spacing w:val="-10"/>
          <w:w w:val="105"/>
        </w:rPr>
        <w:t> </w:t>
      </w:r>
      <w:r>
        <w:rPr>
          <w:color w:val="231F20"/>
          <w:w w:val="105"/>
        </w:rPr>
        <w:t>the</w:t>
      </w:r>
      <w:r>
        <w:rPr>
          <w:color w:val="231F20"/>
          <w:spacing w:val="-10"/>
          <w:w w:val="105"/>
        </w:rPr>
        <w:t> </w:t>
      </w:r>
      <w:r>
        <w:rPr>
          <w:color w:val="231F20"/>
          <w:w w:val="105"/>
        </w:rPr>
        <w:t>Annual</w:t>
      </w:r>
      <w:r>
        <w:rPr>
          <w:color w:val="231F20"/>
          <w:spacing w:val="-11"/>
          <w:w w:val="105"/>
        </w:rPr>
        <w:t> </w:t>
      </w:r>
      <w:r>
        <w:rPr>
          <w:color w:val="231F20"/>
          <w:w w:val="105"/>
        </w:rPr>
        <w:t>General</w:t>
      </w:r>
      <w:r>
        <w:rPr>
          <w:color w:val="231F20"/>
          <w:spacing w:val="-10"/>
          <w:w w:val="105"/>
        </w:rPr>
        <w:t> </w:t>
      </w:r>
      <w:r>
        <w:rPr>
          <w:color w:val="231F20"/>
          <w:w w:val="105"/>
        </w:rPr>
        <w:t>Meeting</w:t>
      </w:r>
      <w:r>
        <w:rPr>
          <w:color w:val="231F20"/>
          <w:spacing w:val="-10"/>
          <w:w w:val="105"/>
        </w:rPr>
        <w:t> </w:t>
      </w:r>
      <w:r>
        <w:rPr>
          <w:color w:val="231F20"/>
          <w:w w:val="105"/>
        </w:rPr>
        <w:t>approved</w:t>
      </w:r>
      <w:r>
        <w:rPr>
          <w:color w:val="231F20"/>
          <w:spacing w:val="-11"/>
          <w:w w:val="105"/>
        </w:rPr>
        <w:t> </w:t>
      </w:r>
      <w:r>
        <w:rPr>
          <w:color w:val="231F20"/>
          <w:w w:val="105"/>
        </w:rPr>
        <w:t>a</w:t>
      </w:r>
      <w:r>
        <w:rPr>
          <w:color w:val="231F20"/>
          <w:spacing w:val="-10"/>
          <w:w w:val="105"/>
        </w:rPr>
        <w:t> </w:t>
      </w:r>
      <w:r>
        <w:rPr>
          <w:color w:val="231F20"/>
          <w:w w:val="105"/>
        </w:rPr>
        <w:t>further reduction of the share capital by 75 200 </w:t>
      </w:r>
      <w:r>
        <w:rPr>
          <w:color w:val="231F20"/>
          <w:spacing w:val="2"/>
          <w:w w:val="105"/>
        </w:rPr>
        <w:t>000 </w:t>
      </w:r>
      <w:r>
        <w:rPr>
          <w:color w:val="231F20"/>
          <w:w w:val="105"/>
        </w:rPr>
        <w:t>shares to CHF 322 </w:t>
      </w:r>
      <w:r>
        <w:rPr>
          <w:color w:val="231F20"/>
          <w:spacing w:val="3"/>
          <w:w w:val="105"/>
        </w:rPr>
        <w:t>480</w:t>
      </w:r>
      <w:r>
        <w:rPr>
          <w:color w:val="231F20"/>
          <w:spacing w:val="-15"/>
          <w:w w:val="105"/>
        </w:rPr>
        <w:t> </w:t>
      </w:r>
      <w:r>
        <w:rPr>
          <w:color w:val="231F20"/>
          <w:w w:val="105"/>
        </w:rPr>
        <w:t>000.</w:t>
      </w:r>
    </w:p>
    <w:p>
      <w:pPr>
        <w:pStyle w:val="BodyText"/>
        <w:spacing w:line="276" w:lineRule="auto"/>
        <w:ind w:left="106" w:right="684" w:firstLine="226"/>
      </w:pPr>
      <w:r>
        <w:rPr>
          <w:color w:val="231F20"/>
        </w:rPr>
        <w:t>For the breakdown of capital (“equity”) for 2013, 2012 and 2011 see the changes in equity in the Consolidated Financial Statements of the Nestlé Group 2013 and 2012.</w:t>
      </w:r>
    </w:p>
    <w:p>
      <w:pPr>
        <w:spacing w:after="0" w:line="276" w:lineRule="auto"/>
        <w:sectPr>
          <w:type w:val="continuous"/>
          <w:pgSz w:w="11910" w:h="14750"/>
          <w:pgMar w:top="540" w:bottom="280" w:left="460" w:right="460"/>
          <w:cols w:num="2" w:equalWidth="0">
            <w:col w:w="5174" w:space="99"/>
            <w:col w:w="5717"/>
          </w:cols>
        </w:sectPr>
      </w:pPr>
    </w:p>
    <w:p>
      <w:pPr>
        <w:pStyle w:val="BodyText"/>
        <w:rPr>
          <w:sz w:val="20"/>
        </w:rPr>
      </w:pPr>
    </w:p>
    <w:p>
      <w:pPr>
        <w:pStyle w:val="BodyText"/>
        <w:rPr>
          <w:sz w:val="20"/>
        </w:rPr>
      </w:pPr>
    </w:p>
    <w:p>
      <w:pPr>
        <w:pStyle w:val="BodyText"/>
        <w:spacing w:before="9"/>
        <w:rPr>
          <w:sz w:val="15"/>
        </w:rPr>
      </w:pPr>
    </w:p>
    <w:p>
      <w:pPr>
        <w:spacing w:after="0"/>
        <w:rPr>
          <w:sz w:val="15"/>
        </w:rPr>
        <w:sectPr>
          <w:headerReference w:type="default" r:id="rId32"/>
          <w:pgSz w:w="11910" w:h="14750"/>
          <w:pgMar w:header="642" w:footer="509" w:top="840" w:bottom="700" w:left="460" w:right="460"/>
        </w:sectPr>
      </w:pPr>
    </w:p>
    <w:p>
      <w:pPr>
        <w:pStyle w:val="Heading3"/>
        <w:numPr>
          <w:ilvl w:val="1"/>
          <w:numId w:val="2"/>
        </w:numPr>
        <w:tabs>
          <w:tab w:pos="1015" w:val="left" w:leader="none"/>
        </w:tabs>
        <w:spacing w:line="240" w:lineRule="auto" w:before="108" w:after="0"/>
        <w:ind w:left="1014" w:right="0" w:hanging="454"/>
        <w:jc w:val="left"/>
      </w:pPr>
      <w:r>
        <w:rPr>
          <w:color w:val="586670"/>
          <w:w w:val="110"/>
        </w:rPr>
        <w:t>Shares and participation</w:t>
      </w:r>
      <w:r>
        <w:rPr>
          <w:color w:val="586670"/>
          <w:spacing w:val="-24"/>
          <w:w w:val="110"/>
        </w:rPr>
        <w:t> </w:t>
      </w:r>
      <w:r>
        <w:rPr>
          <w:color w:val="586670"/>
          <w:w w:val="110"/>
        </w:rPr>
        <w:t>certificates</w:t>
      </w:r>
    </w:p>
    <w:p>
      <w:pPr>
        <w:pStyle w:val="BodyText"/>
        <w:spacing w:line="276" w:lineRule="auto" w:before="31"/>
        <w:ind w:left="560" w:right="112"/>
      </w:pPr>
      <w:r>
        <w:rPr>
          <w:color w:val="231F20"/>
          <w:spacing w:val="1"/>
          <w:w w:val="119"/>
        </w:rPr>
        <w:t>N</w:t>
      </w:r>
      <w:r>
        <w:rPr>
          <w:color w:val="231F20"/>
          <w:spacing w:val="1"/>
          <w:w w:val="100"/>
        </w:rPr>
        <w:t>e</w:t>
      </w:r>
      <w:r>
        <w:rPr>
          <w:color w:val="231F20"/>
          <w:spacing w:val="1"/>
          <w:w w:val="121"/>
        </w:rPr>
        <w:t>s</w:t>
      </w:r>
      <w:r>
        <w:rPr>
          <w:color w:val="231F20"/>
          <w:w w:val="83"/>
        </w:rPr>
        <w:t>t</w:t>
      </w:r>
      <w:r>
        <w:rPr>
          <w:color w:val="231F20"/>
          <w:spacing w:val="1"/>
          <w:w w:val="81"/>
        </w:rPr>
        <w:t>l</w:t>
      </w:r>
      <w:r>
        <w:rPr>
          <w:color w:val="231F20"/>
          <w:w w:val="100"/>
        </w:rPr>
        <w:t>é</w:t>
      </w:r>
      <w:r>
        <w:rPr>
          <w:color w:val="231F20"/>
          <w:spacing w:val="-3"/>
        </w:rPr>
        <w:t> </w:t>
      </w:r>
      <w:r>
        <w:rPr>
          <w:color w:val="231F20"/>
          <w:spacing w:val="-1"/>
          <w:w w:val="131"/>
        </w:rPr>
        <w:t>S</w:t>
      </w:r>
      <w:r>
        <w:rPr>
          <w:color w:val="231F20"/>
          <w:spacing w:val="4"/>
          <w:w w:val="78"/>
        </w:rPr>
        <w:t>.</w:t>
      </w:r>
      <w:r>
        <w:rPr>
          <w:color w:val="231F20"/>
          <w:spacing w:val="4"/>
          <w:w w:val="120"/>
        </w:rPr>
        <w:t>A</w:t>
      </w:r>
      <w:r>
        <w:rPr>
          <w:color w:val="231F20"/>
          <w:spacing w:val="-12"/>
          <w:w w:val="78"/>
        </w:rPr>
        <w:t>.</w:t>
      </w:r>
      <w:r>
        <w:rPr>
          <w:color w:val="231F20"/>
          <w:spacing w:val="-3"/>
          <w:w w:val="64"/>
        </w:rPr>
        <w:t>’</w:t>
      </w:r>
      <w:r>
        <w:rPr>
          <w:color w:val="231F20"/>
          <w:w w:val="121"/>
        </w:rPr>
        <w:t>s</w:t>
      </w:r>
      <w:r>
        <w:rPr>
          <w:color w:val="231F20"/>
          <w:spacing w:val="-3"/>
        </w:rPr>
        <w:t> </w:t>
      </w:r>
      <w:r>
        <w:rPr>
          <w:color w:val="231F20"/>
          <w:spacing w:val="4"/>
          <w:w w:val="108"/>
        </w:rPr>
        <w:t>c</w:t>
      </w:r>
      <w:r>
        <w:rPr>
          <w:color w:val="231F20"/>
          <w:spacing w:val="-1"/>
          <w:w w:val="101"/>
        </w:rPr>
        <w:t>a</w:t>
      </w:r>
      <w:r>
        <w:rPr>
          <w:color w:val="231F20"/>
          <w:w w:val="107"/>
        </w:rPr>
        <w:t>p</w:t>
      </w:r>
      <w:r>
        <w:rPr>
          <w:color w:val="231F20"/>
          <w:spacing w:val="1"/>
          <w:w w:val="83"/>
        </w:rPr>
        <w:t>i</w:t>
      </w:r>
      <w:r>
        <w:rPr>
          <w:color w:val="231F20"/>
          <w:spacing w:val="4"/>
          <w:w w:val="83"/>
        </w:rPr>
        <w:t>t</w:t>
      </w:r>
      <w:r>
        <w:rPr>
          <w:color w:val="231F20"/>
          <w:w w:val="93"/>
        </w:rPr>
        <w:t>al</w:t>
      </w:r>
      <w:r>
        <w:rPr>
          <w:color w:val="231F20"/>
          <w:spacing w:val="-3"/>
        </w:rPr>
        <w:t> </w:t>
      </w:r>
      <w:r>
        <w:rPr>
          <w:color w:val="231F20"/>
          <w:w w:val="83"/>
        </w:rPr>
        <w:t>i</w:t>
      </w:r>
      <w:r>
        <w:rPr>
          <w:color w:val="231F20"/>
          <w:w w:val="121"/>
        </w:rPr>
        <w:t>s</w:t>
      </w:r>
      <w:r>
        <w:rPr>
          <w:color w:val="231F20"/>
          <w:spacing w:val="-3"/>
        </w:rPr>
        <w:t> </w:t>
      </w:r>
      <w:r>
        <w:rPr>
          <w:color w:val="231F20"/>
          <w:spacing w:val="2"/>
          <w:w w:val="108"/>
        </w:rPr>
        <w:t>c</w:t>
      </w:r>
      <w:r>
        <w:rPr>
          <w:color w:val="231F20"/>
          <w:spacing w:val="1"/>
          <w:w w:val="109"/>
        </w:rPr>
        <w:t>o</w:t>
      </w:r>
      <w:r>
        <w:rPr>
          <w:color w:val="231F20"/>
          <w:spacing w:val="-1"/>
          <w:w w:val="110"/>
        </w:rPr>
        <w:t>m</w:t>
      </w:r>
      <w:r>
        <w:rPr>
          <w:color w:val="231F20"/>
          <w:spacing w:val="2"/>
          <w:w w:val="107"/>
        </w:rPr>
        <w:t>p</w:t>
      </w:r>
      <w:r>
        <w:rPr>
          <w:color w:val="231F20"/>
          <w:w w:val="109"/>
        </w:rPr>
        <w:t>o</w:t>
      </w:r>
      <w:r>
        <w:rPr>
          <w:color w:val="231F20"/>
          <w:spacing w:val="1"/>
          <w:w w:val="121"/>
        </w:rPr>
        <w:t>s</w:t>
      </w:r>
      <w:r>
        <w:rPr>
          <w:color w:val="231F20"/>
          <w:spacing w:val="2"/>
          <w:w w:val="100"/>
        </w:rPr>
        <w:t>e</w:t>
      </w:r>
      <w:r>
        <w:rPr>
          <w:color w:val="231F20"/>
          <w:w w:val="107"/>
        </w:rPr>
        <w:t>d</w:t>
      </w:r>
      <w:r>
        <w:rPr>
          <w:color w:val="231F20"/>
          <w:spacing w:val="-3"/>
        </w:rPr>
        <w:t> </w:t>
      </w:r>
      <w:r>
        <w:rPr>
          <w:color w:val="231F20"/>
          <w:spacing w:val="-1"/>
          <w:w w:val="109"/>
        </w:rPr>
        <w:t>o</w:t>
      </w:r>
      <w:r>
        <w:rPr>
          <w:color w:val="231F20"/>
          <w:w w:val="88"/>
        </w:rPr>
        <w:t>f</w:t>
      </w:r>
      <w:r>
        <w:rPr>
          <w:color w:val="231F20"/>
          <w:spacing w:val="-3"/>
        </w:rPr>
        <w:t> </w:t>
      </w:r>
      <w:r>
        <w:rPr>
          <w:color w:val="231F20"/>
          <w:w w:val="90"/>
        </w:rPr>
        <w:t>r</w:t>
      </w:r>
      <w:r>
        <w:rPr>
          <w:color w:val="231F20"/>
          <w:spacing w:val="2"/>
          <w:w w:val="100"/>
        </w:rPr>
        <w:t>e</w:t>
      </w:r>
      <w:r>
        <w:rPr>
          <w:color w:val="231F20"/>
          <w:w w:val="107"/>
        </w:rPr>
        <w:t>gi</w:t>
      </w:r>
      <w:r>
        <w:rPr>
          <w:color w:val="231F20"/>
          <w:spacing w:val="1"/>
          <w:w w:val="121"/>
        </w:rPr>
        <w:t>s</w:t>
      </w:r>
      <w:r>
        <w:rPr>
          <w:color w:val="231F20"/>
          <w:spacing w:val="-1"/>
          <w:w w:val="83"/>
        </w:rPr>
        <w:t>t</w:t>
      </w:r>
      <w:r>
        <w:rPr>
          <w:color w:val="231F20"/>
          <w:spacing w:val="1"/>
          <w:w w:val="100"/>
        </w:rPr>
        <w:t>e</w:t>
      </w:r>
      <w:r>
        <w:rPr>
          <w:color w:val="231F20"/>
          <w:w w:val="90"/>
        </w:rPr>
        <w:t>r</w:t>
      </w:r>
      <w:r>
        <w:rPr>
          <w:color w:val="231F20"/>
          <w:spacing w:val="2"/>
          <w:w w:val="100"/>
        </w:rPr>
        <w:t>e</w:t>
      </w:r>
      <w:r>
        <w:rPr>
          <w:color w:val="231F20"/>
          <w:w w:val="107"/>
        </w:rPr>
        <w:t>d</w:t>
      </w:r>
      <w:r>
        <w:rPr>
          <w:color w:val="231F20"/>
          <w:spacing w:val="-3"/>
        </w:rPr>
        <w:t> </w:t>
      </w:r>
      <w:r>
        <w:rPr>
          <w:color w:val="231F20"/>
          <w:w w:val="121"/>
        </w:rPr>
        <w:t>s</w:t>
      </w:r>
      <w:r>
        <w:rPr>
          <w:color w:val="231F20"/>
          <w:spacing w:val="1"/>
          <w:w w:val="108"/>
        </w:rPr>
        <w:t>h</w:t>
      </w:r>
      <w:r>
        <w:rPr>
          <w:color w:val="231F20"/>
          <w:spacing w:val="-1"/>
          <w:w w:val="101"/>
        </w:rPr>
        <w:t>a</w:t>
      </w:r>
      <w:r>
        <w:rPr>
          <w:color w:val="231F20"/>
          <w:w w:val="90"/>
        </w:rPr>
        <w:t>r</w:t>
      </w:r>
      <w:r>
        <w:rPr>
          <w:color w:val="231F20"/>
          <w:spacing w:val="1"/>
          <w:w w:val="100"/>
        </w:rPr>
        <w:t>e</w:t>
      </w:r>
      <w:r>
        <w:rPr>
          <w:color w:val="231F20"/>
          <w:w w:val="121"/>
        </w:rPr>
        <w:t>s</w:t>
      </w:r>
      <w:r>
        <w:rPr>
          <w:color w:val="231F20"/>
          <w:spacing w:val="-3"/>
        </w:rPr>
        <w:t> </w:t>
      </w:r>
      <w:r>
        <w:rPr>
          <w:color w:val="231F20"/>
          <w:spacing w:val="1"/>
          <w:w w:val="109"/>
        </w:rPr>
        <w:t>o</w:t>
      </w:r>
      <w:r>
        <w:rPr>
          <w:color w:val="231F20"/>
          <w:w w:val="98"/>
        </w:rPr>
        <w:t>n</w:t>
      </w:r>
      <w:r>
        <w:rPr>
          <w:color w:val="231F20"/>
          <w:spacing w:val="1"/>
          <w:w w:val="98"/>
        </w:rPr>
        <w:t>l</w:t>
      </w:r>
      <w:r>
        <w:rPr>
          <w:color w:val="231F20"/>
          <w:spacing w:val="-10"/>
          <w:w w:val="105"/>
        </w:rPr>
        <w:t>y</w:t>
      </w:r>
      <w:r>
        <w:rPr>
          <w:color w:val="231F20"/>
          <w:w w:val="78"/>
        </w:rPr>
        <w:t>. </w:t>
      </w:r>
      <w:r>
        <w:rPr>
          <w:color w:val="231F20"/>
        </w:rPr>
        <w:t>The number of registered shares with a nominal value of CHF </w:t>
      </w:r>
      <w:r>
        <w:rPr>
          <w:color w:val="231F20"/>
          <w:spacing w:val="-8"/>
        </w:rPr>
        <w:t>0.10 </w:t>
      </w:r>
      <w:r>
        <w:rPr>
          <w:color w:val="231F20"/>
        </w:rPr>
        <w:t>each, fully paid up, was 3 224 </w:t>
      </w:r>
      <w:r>
        <w:rPr>
          <w:color w:val="231F20"/>
          <w:spacing w:val="2"/>
        </w:rPr>
        <w:t>800 000</w:t>
      </w:r>
      <w:r>
        <w:rPr>
          <w:color w:val="231F20"/>
          <w:spacing w:val="46"/>
        </w:rPr>
        <w:t> </w:t>
      </w:r>
      <w:r>
        <w:rPr>
          <w:color w:val="231F20"/>
        </w:rPr>
        <w:t>at</w:t>
      </w:r>
    </w:p>
    <w:p>
      <w:pPr>
        <w:pStyle w:val="BodyText"/>
        <w:spacing w:line="208" w:lineRule="exact"/>
        <w:ind w:left="560"/>
      </w:pPr>
      <w:r>
        <w:rPr>
          <w:color w:val="231F20"/>
          <w:w w:val="105"/>
        </w:rPr>
        <w:t>31 December 2013.</w:t>
      </w:r>
    </w:p>
    <w:p>
      <w:pPr>
        <w:pStyle w:val="BodyText"/>
        <w:spacing w:line="276" w:lineRule="auto" w:before="31"/>
        <w:ind w:left="560" w:firstLine="226"/>
      </w:pPr>
      <w:r>
        <w:rPr>
          <w:color w:val="231F20"/>
        </w:rPr>
        <w:t>According to art. 11 par. 1 of the Articles of Association, each share recorded in the share register as a share with voting rights confers the right to one vote to its holder. See also point 2.6.1 below.</w:t>
      </w:r>
    </w:p>
    <w:p>
      <w:pPr>
        <w:pStyle w:val="BodyText"/>
        <w:spacing w:line="276" w:lineRule="auto"/>
        <w:ind w:left="560" w:firstLine="226"/>
      </w:pPr>
      <w:r>
        <w:rPr>
          <w:color w:val="231F20"/>
        </w:rPr>
        <w:t>Shareholders have the right to receive dividends. There</w:t>
      </w:r>
      <w:r>
        <w:rPr>
          <w:color w:val="231F20"/>
          <w:spacing w:val="-35"/>
        </w:rPr>
        <w:t> </w:t>
      </w:r>
      <w:r>
        <w:rPr>
          <w:color w:val="231F20"/>
        </w:rPr>
        <w:t>are no participation</w:t>
      </w:r>
      <w:r>
        <w:rPr>
          <w:color w:val="231F20"/>
          <w:spacing w:val="-7"/>
        </w:rPr>
        <w:t> </w:t>
      </w:r>
      <w:r>
        <w:rPr>
          <w:color w:val="231F20"/>
        </w:rPr>
        <w:t>certificates.</w:t>
      </w:r>
    </w:p>
    <w:p>
      <w:pPr>
        <w:pStyle w:val="BodyText"/>
        <w:spacing w:before="6"/>
        <w:rPr>
          <w:sz w:val="20"/>
        </w:rPr>
      </w:pPr>
    </w:p>
    <w:p>
      <w:pPr>
        <w:pStyle w:val="Heading3"/>
        <w:numPr>
          <w:ilvl w:val="1"/>
          <w:numId w:val="2"/>
        </w:numPr>
        <w:tabs>
          <w:tab w:pos="1015" w:val="left" w:leader="none"/>
        </w:tabs>
        <w:spacing w:line="240" w:lineRule="auto" w:before="0" w:after="0"/>
        <w:ind w:left="1014" w:right="0" w:hanging="454"/>
        <w:jc w:val="left"/>
      </w:pPr>
      <w:r>
        <w:rPr>
          <w:color w:val="586670"/>
          <w:w w:val="105"/>
        </w:rPr>
        <w:t>Profit sharing</w:t>
      </w:r>
      <w:r>
        <w:rPr>
          <w:color w:val="586670"/>
          <w:spacing w:val="-6"/>
          <w:w w:val="105"/>
        </w:rPr>
        <w:t> </w:t>
      </w:r>
      <w:r>
        <w:rPr>
          <w:color w:val="586670"/>
          <w:w w:val="105"/>
        </w:rPr>
        <w:t>certificates</w:t>
      </w:r>
    </w:p>
    <w:p>
      <w:pPr>
        <w:pStyle w:val="BodyText"/>
        <w:spacing w:before="31"/>
        <w:ind w:left="560"/>
      </w:pPr>
      <w:r>
        <w:rPr>
          <w:color w:val="231F20"/>
        </w:rPr>
        <w:t>There are no profit sharing certificates.</w:t>
      </w:r>
    </w:p>
    <w:p>
      <w:pPr>
        <w:pStyle w:val="BodyText"/>
        <w:spacing w:before="4"/>
        <w:rPr>
          <w:sz w:val="23"/>
        </w:rPr>
      </w:pPr>
    </w:p>
    <w:p>
      <w:pPr>
        <w:pStyle w:val="Heading3"/>
        <w:numPr>
          <w:ilvl w:val="1"/>
          <w:numId w:val="2"/>
        </w:numPr>
        <w:tabs>
          <w:tab w:pos="1015" w:val="left" w:leader="none"/>
        </w:tabs>
        <w:spacing w:line="276" w:lineRule="auto" w:before="0" w:after="0"/>
        <w:ind w:left="1014" w:right="661" w:hanging="454"/>
        <w:jc w:val="left"/>
      </w:pPr>
      <w:r>
        <w:rPr>
          <w:color w:val="586670"/>
          <w:w w:val="110"/>
        </w:rPr>
        <w:t>Limitations</w:t>
      </w:r>
      <w:r>
        <w:rPr>
          <w:color w:val="586670"/>
          <w:spacing w:val="-15"/>
          <w:w w:val="110"/>
        </w:rPr>
        <w:t> </w:t>
      </w:r>
      <w:r>
        <w:rPr>
          <w:color w:val="586670"/>
          <w:w w:val="110"/>
        </w:rPr>
        <w:t>on</w:t>
      </w:r>
      <w:r>
        <w:rPr>
          <w:color w:val="586670"/>
          <w:spacing w:val="-15"/>
          <w:w w:val="110"/>
        </w:rPr>
        <w:t> </w:t>
      </w:r>
      <w:r>
        <w:rPr>
          <w:color w:val="586670"/>
          <w:w w:val="110"/>
        </w:rPr>
        <w:t>transferability</w:t>
      </w:r>
      <w:r>
        <w:rPr>
          <w:color w:val="586670"/>
          <w:spacing w:val="-15"/>
          <w:w w:val="110"/>
        </w:rPr>
        <w:t> </w:t>
      </w:r>
      <w:r>
        <w:rPr>
          <w:color w:val="586670"/>
          <w:w w:val="110"/>
        </w:rPr>
        <w:t>and</w:t>
      </w:r>
      <w:r>
        <w:rPr>
          <w:color w:val="586670"/>
          <w:spacing w:val="-15"/>
          <w:w w:val="110"/>
        </w:rPr>
        <w:t> </w:t>
      </w:r>
      <w:r>
        <w:rPr>
          <w:color w:val="586670"/>
          <w:w w:val="110"/>
        </w:rPr>
        <w:t>nominee registrations</w:t>
      </w:r>
    </w:p>
    <w:p>
      <w:pPr>
        <w:pStyle w:val="ListParagraph"/>
        <w:numPr>
          <w:ilvl w:val="2"/>
          <w:numId w:val="2"/>
        </w:numPr>
        <w:tabs>
          <w:tab w:pos="1015" w:val="left" w:leader="none"/>
        </w:tabs>
        <w:spacing w:line="276" w:lineRule="auto" w:before="0" w:after="0"/>
        <w:ind w:left="1014" w:right="161" w:hanging="454"/>
        <w:jc w:val="left"/>
        <w:rPr>
          <w:sz w:val="18"/>
        </w:rPr>
      </w:pPr>
      <w:r>
        <w:rPr>
          <w:color w:val="586670"/>
          <w:sz w:val="18"/>
        </w:rPr>
        <w:t>Limitations on transferability for each share category, along with an indication of statutory group</w:t>
      </w:r>
      <w:r>
        <w:rPr>
          <w:color w:val="586670"/>
          <w:spacing w:val="25"/>
          <w:sz w:val="18"/>
        </w:rPr>
        <w:t> </w:t>
      </w:r>
      <w:r>
        <w:rPr>
          <w:color w:val="586670"/>
          <w:sz w:val="18"/>
        </w:rPr>
        <w:t>clauses,</w:t>
      </w:r>
    </w:p>
    <w:p>
      <w:pPr>
        <w:pStyle w:val="BodyText"/>
        <w:spacing w:line="276" w:lineRule="auto"/>
        <w:ind w:left="560" w:right="431" w:firstLine="453"/>
      </w:pPr>
      <w:r>
        <w:rPr>
          <w:color w:val="586670"/>
        </w:rPr>
        <w:t>if </w:t>
      </w:r>
      <w:r>
        <w:rPr>
          <w:color w:val="586670"/>
          <w:spacing w:val="-4"/>
        </w:rPr>
        <w:t>any, </w:t>
      </w:r>
      <w:r>
        <w:rPr>
          <w:color w:val="586670"/>
        </w:rPr>
        <w:t>and rules for  granting  exceptions </w:t>
      </w:r>
      <w:r>
        <w:rPr>
          <w:color w:val="231F20"/>
        </w:rPr>
        <w:t>According</w:t>
      </w:r>
      <w:r>
        <w:rPr>
          <w:color w:val="231F20"/>
          <w:spacing w:val="8"/>
        </w:rPr>
        <w:t> </w:t>
      </w:r>
      <w:r>
        <w:rPr>
          <w:color w:val="231F20"/>
        </w:rPr>
        <w:t>to</w:t>
      </w:r>
      <w:r>
        <w:rPr>
          <w:color w:val="231F20"/>
          <w:spacing w:val="9"/>
        </w:rPr>
        <w:t> </w:t>
      </w:r>
      <w:r>
        <w:rPr>
          <w:color w:val="231F20"/>
        </w:rPr>
        <w:t>art.</w:t>
      </w:r>
      <w:r>
        <w:rPr>
          <w:color w:val="231F20"/>
          <w:spacing w:val="9"/>
        </w:rPr>
        <w:t> </w:t>
      </w:r>
      <w:r>
        <w:rPr>
          <w:color w:val="231F20"/>
        </w:rPr>
        <w:t>5</w:t>
      </w:r>
      <w:r>
        <w:rPr>
          <w:color w:val="231F20"/>
          <w:spacing w:val="9"/>
        </w:rPr>
        <w:t> </w:t>
      </w:r>
      <w:r>
        <w:rPr>
          <w:color w:val="231F20"/>
          <w:spacing w:val="-3"/>
        </w:rPr>
        <w:t>par.</w:t>
      </w:r>
      <w:r>
        <w:rPr>
          <w:color w:val="231F20"/>
          <w:spacing w:val="9"/>
        </w:rPr>
        <w:t> </w:t>
      </w:r>
      <w:r>
        <w:rPr>
          <w:color w:val="231F20"/>
        </w:rPr>
        <w:t>5</w:t>
      </w:r>
      <w:r>
        <w:rPr>
          <w:color w:val="231F20"/>
          <w:spacing w:val="9"/>
        </w:rPr>
        <w:t> </w:t>
      </w:r>
      <w:r>
        <w:rPr>
          <w:color w:val="231F20"/>
        </w:rPr>
        <w:t>of</w:t>
      </w:r>
      <w:r>
        <w:rPr>
          <w:color w:val="231F20"/>
          <w:spacing w:val="9"/>
        </w:rPr>
        <w:t> </w:t>
      </w:r>
      <w:r>
        <w:rPr>
          <w:color w:val="231F20"/>
        </w:rPr>
        <w:t>the</w:t>
      </w:r>
      <w:r>
        <w:rPr>
          <w:color w:val="231F20"/>
          <w:spacing w:val="9"/>
        </w:rPr>
        <w:t> </w:t>
      </w:r>
      <w:r>
        <w:rPr>
          <w:color w:val="231F20"/>
        </w:rPr>
        <w:t>Articles</w:t>
      </w:r>
      <w:r>
        <w:rPr>
          <w:color w:val="231F20"/>
          <w:spacing w:val="9"/>
        </w:rPr>
        <w:t> </w:t>
      </w:r>
      <w:r>
        <w:rPr>
          <w:color w:val="231F20"/>
        </w:rPr>
        <w:t>of</w:t>
      </w:r>
      <w:r>
        <w:rPr>
          <w:color w:val="231F20"/>
          <w:spacing w:val="9"/>
        </w:rPr>
        <w:t> </w:t>
      </w:r>
      <w:r>
        <w:rPr>
          <w:color w:val="231F20"/>
        </w:rPr>
        <w:t>Association,</w:t>
      </w:r>
    </w:p>
    <w:p>
      <w:pPr>
        <w:pStyle w:val="BodyText"/>
        <w:spacing w:line="276" w:lineRule="auto"/>
        <w:ind w:left="560" w:right="341"/>
      </w:pPr>
      <w:r>
        <w:rPr>
          <w:color w:val="231F20"/>
          <w:w w:val="105"/>
        </w:rPr>
        <w:t>no</w:t>
      </w:r>
      <w:r>
        <w:rPr>
          <w:color w:val="231F20"/>
          <w:spacing w:val="-14"/>
          <w:w w:val="105"/>
        </w:rPr>
        <w:t> </w:t>
      </w:r>
      <w:r>
        <w:rPr>
          <w:color w:val="231F20"/>
          <w:w w:val="105"/>
        </w:rPr>
        <w:t>person</w:t>
      </w:r>
      <w:r>
        <w:rPr>
          <w:color w:val="231F20"/>
          <w:spacing w:val="-14"/>
          <w:w w:val="105"/>
        </w:rPr>
        <w:t> </w:t>
      </w:r>
      <w:r>
        <w:rPr>
          <w:color w:val="231F20"/>
          <w:w w:val="105"/>
        </w:rPr>
        <w:t>or</w:t>
      </w:r>
      <w:r>
        <w:rPr>
          <w:color w:val="231F20"/>
          <w:spacing w:val="-14"/>
          <w:w w:val="105"/>
        </w:rPr>
        <w:t> </w:t>
      </w:r>
      <w:r>
        <w:rPr>
          <w:color w:val="231F20"/>
          <w:w w:val="105"/>
        </w:rPr>
        <w:t>entity</w:t>
      </w:r>
      <w:r>
        <w:rPr>
          <w:color w:val="231F20"/>
          <w:spacing w:val="-13"/>
          <w:w w:val="105"/>
        </w:rPr>
        <w:t> </w:t>
      </w:r>
      <w:r>
        <w:rPr>
          <w:color w:val="231F20"/>
          <w:w w:val="105"/>
        </w:rPr>
        <w:t>shall</w:t>
      </w:r>
      <w:r>
        <w:rPr>
          <w:color w:val="231F20"/>
          <w:spacing w:val="-14"/>
          <w:w w:val="105"/>
        </w:rPr>
        <w:t> </w:t>
      </w:r>
      <w:r>
        <w:rPr>
          <w:color w:val="231F20"/>
          <w:w w:val="105"/>
        </w:rPr>
        <w:t>be</w:t>
      </w:r>
      <w:r>
        <w:rPr>
          <w:color w:val="231F20"/>
          <w:spacing w:val="-14"/>
          <w:w w:val="105"/>
        </w:rPr>
        <w:t> </w:t>
      </w:r>
      <w:r>
        <w:rPr>
          <w:color w:val="231F20"/>
          <w:w w:val="105"/>
        </w:rPr>
        <w:t>registered</w:t>
      </w:r>
      <w:r>
        <w:rPr>
          <w:color w:val="231F20"/>
          <w:spacing w:val="-14"/>
          <w:w w:val="105"/>
        </w:rPr>
        <w:t> </w:t>
      </w:r>
      <w:r>
        <w:rPr>
          <w:color w:val="231F20"/>
          <w:w w:val="105"/>
        </w:rPr>
        <w:t>with</w:t>
      </w:r>
      <w:r>
        <w:rPr>
          <w:color w:val="231F20"/>
          <w:spacing w:val="-13"/>
          <w:w w:val="105"/>
        </w:rPr>
        <w:t> </w:t>
      </w:r>
      <w:r>
        <w:rPr>
          <w:color w:val="231F20"/>
          <w:w w:val="105"/>
        </w:rPr>
        <w:t>voting</w:t>
      </w:r>
      <w:r>
        <w:rPr>
          <w:color w:val="231F20"/>
          <w:spacing w:val="-14"/>
          <w:w w:val="105"/>
        </w:rPr>
        <w:t> </w:t>
      </w:r>
      <w:r>
        <w:rPr>
          <w:color w:val="231F20"/>
          <w:w w:val="105"/>
        </w:rPr>
        <w:t>rights for</w:t>
      </w:r>
      <w:r>
        <w:rPr>
          <w:color w:val="231F20"/>
          <w:spacing w:val="-11"/>
          <w:w w:val="105"/>
        </w:rPr>
        <w:t> </w:t>
      </w:r>
      <w:r>
        <w:rPr>
          <w:color w:val="231F20"/>
          <w:w w:val="105"/>
        </w:rPr>
        <w:t>more</w:t>
      </w:r>
      <w:r>
        <w:rPr>
          <w:color w:val="231F20"/>
          <w:spacing w:val="-11"/>
          <w:w w:val="105"/>
        </w:rPr>
        <w:t> </w:t>
      </w:r>
      <w:r>
        <w:rPr>
          <w:color w:val="231F20"/>
          <w:w w:val="105"/>
        </w:rPr>
        <w:t>than</w:t>
      </w:r>
      <w:r>
        <w:rPr>
          <w:color w:val="231F20"/>
          <w:spacing w:val="-10"/>
          <w:w w:val="105"/>
        </w:rPr>
        <w:t> </w:t>
      </w:r>
      <w:r>
        <w:rPr>
          <w:color w:val="231F20"/>
          <w:w w:val="105"/>
        </w:rPr>
        <w:t>5%</w:t>
      </w:r>
      <w:r>
        <w:rPr>
          <w:color w:val="231F20"/>
          <w:spacing w:val="-11"/>
          <w:w w:val="105"/>
        </w:rPr>
        <w:t> </w:t>
      </w:r>
      <w:r>
        <w:rPr>
          <w:color w:val="231F20"/>
          <w:w w:val="105"/>
        </w:rPr>
        <w:t>of</w:t>
      </w:r>
      <w:r>
        <w:rPr>
          <w:color w:val="231F20"/>
          <w:spacing w:val="-10"/>
          <w:w w:val="105"/>
        </w:rPr>
        <w:t> </w:t>
      </w:r>
      <w:r>
        <w:rPr>
          <w:color w:val="231F20"/>
          <w:w w:val="105"/>
        </w:rPr>
        <w:t>the</w:t>
      </w:r>
      <w:r>
        <w:rPr>
          <w:color w:val="231F20"/>
          <w:spacing w:val="-11"/>
          <w:w w:val="105"/>
        </w:rPr>
        <w:t> </w:t>
      </w:r>
      <w:r>
        <w:rPr>
          <w:color w:val="231F20"/>
          <w:w w:val="105"/>
        </w:rPr>
        <w:t>share</w:t>
      </w:r>
      <w:r>
        <w:rPr>
          <w:color w:val="231F20"/>
          <w:spacing w:val="-11"/>
          <w:w w:val="105"/>
        </w:rPr>
        <w:t> </w:t>
      </w:r>
      <w:r>
        <w:rPr>
          <w:color w:val="231F20"/>
          <w:w w:val="105"/>
        </w:rPr>
        <w:t>capital</w:t>
      </w:r>
      <w:r>
        <w:rPr>
          <w:color w:val="231F20"/>
          <w:spacing w:val="-10"/>
          <w:w w:val="105"/>
        </w:rPr>
        <w:t> </w:t>
      </w:r>
      <w:r>
        <w:rPr>
          <w:color w:val="231F20"/>
          <w:w w:val="105"/>
        </w:rPr>
        <w:t>as</w:t>
      </w:r>
      <w:r>
        <w:rPr>
          <w:color w:val="231F20"/>
          <w:spacing w:val="-11"/>
          <w:w w:val="105"/>
        </w:rPr>
        <w:t> </w:t>
      </w:r>
      <w:r>
        <w:rPr>
          <w:color w:val="231F20"/>
          <w:w w:val="105"/>
        </w:rPr>
        <w:t>recorded</w:t>
      </w:r>
      <w:r>
        <w:rPr>
          <w:color w:val="231F20"/>
          <w:spacing w:val="-10"/>
          <w:w w:val="105"/>
        </w:rPr>
        <w:t> </w:t>
      </w:r>
      <w:r>
        <w:rPr>
          <w:color w:val="231F20"/>
          <w:w w:val="105"/>
        </w:rPr>
        <w:t>in</w:t>
      </w:r>
      <w:r>
        <w:rPr>
          <w:color w:val="231F20"/>
          <w:spacing w:val="-11"/>
          <w:w w:val="105"/>
        </w:rPr>
        <w:t> </w:t>
      </w:r>
      <w:r>
        <w:rPr>
          <w:color w:val="231F20"/>
          <w:w w:val="105"/>
        </w:rPr>
        <w:t>the commercial</w:t>
      </w:r>
      <w:r>
        <w:rPr>
          <w:color w:val="231F20"/>
          <w:spacing w:val="-23"/>
          <w:w w:val="105"/>
        </w:rPr>
        <w:t> </w:t>
      </w:r>
      <w:r>
        <w:rPr>
          <w:color w:val="231F20"/>
          <w:w w:val="105"/>
        </w:rPr>
        <w:t>register.</w:t>
      </w:r>
      <w:r>
        <w:rPr>
          <w:color w:val="231F20"/>
          <w:spacing w:val="-23"/>
          <w:w w:val="105"/>
        </w:rPr>
        <w:t> </w:t>
      </w:r>
      <w:r>
        <w:rPr>
          <w:color w:val="231F20"/>
          <w:w w:val="105"/>
        </w:rPr>
        <w:t>The</w:t>
      </w:r>
      <w:r>
        <w:rPr>
          <w:color w:val="231F20"/>
          <w:spacing w:val="-23"/>
          <w:w w:val="105"/>
        </w:rPr>
        <w:t> </w:t>
      </w:r>
      <w:r>
        <w:rPr>
          <w:color w:val="231F20"/>
          <w:w w:val="105"/>
        </w:rPr>
        <w:t>limitation</w:t>
      </w:r>
      <w:r>
        <w:rPr>
          <w:color w:val="231F20"/>
          <w:spacing w:val="-23"/>
          <w:w w:val="105"/>
        </w:rPr>
        <w:t> </w:t>
      </w:r>
      <w:r>
        <w:rPr>
          <w:color w:val="231F20"/>
          <w:w w:val="105"/>
        </w:rPr>
        <w:t>on</w:t>
      </w:r>
      <w:r>
        <w:rPr>
          <w:color w:val="231F20"/>
          <w:spacing w:val="-23"/>
          <w:w w:val="105"/>
        </w:rPr>
        <w:t> </w:t>
      </w:r>
      <w:r>
        <w:rPr>
          <w:color w:val="231F20"/>
          <w:w w:val="105"/>
        </w:rPr>
        <w:t>registration</w:t>
      </w:r>
      <w:r>
        <w:rPr>
          <w:color w:val="231F20"/>
          <w:spacing w:val="-23"/>
          <w:w w:val="105"/>
        </w:rPr>
        <w:t> </w:t>
      </w:r>
      <w:r>
        <w:rPr>
          <w:color w:val="231F20"/>
          <w:w w:val="105"/>
        </w:rPr>
        <w:t>also applies to persons who hold some or all their shares through</w:t>
      </w:r>
      <w:r>
        <w:rPr>
          <w:color w:val="231F20"/>
          <w:spacing w:val="-24"/>
          <w:w w:val="105"/>
        </w:rPr>
        <w:t> </w:t>
      </w:r>
      <w:r>
        <w:rPr>
          <w:color w:val="231F20"/>
          <w:w w:val="105"/>
        </w:rPr>
        <w:t>nominees</w:t>
      </w:r>
      <w:r>
        <w:rPr>
          <w:color w:val="231F20"/>
          <w:spacing w:val="-23"/>
          <w:w w:val="105"/>
        </w:rPr>
        <w:t> </w:t>
      </w:r>
      <w:r>
        <w:rPr>
          <w:color w:val="231F20"/>
          <w:w w:val="105"/>
        </w:rPr>
        <w:t>pursuant</w:t>
      </w:r>
      <w:r>
        <w:rPr>
          <w:color w:val="231F20"/>
          <w:spacing w:val="-23"/>
          <w:w w:val="105"/>
        </w:rPr>
        <w:t> </w:t>
      </w:r>
      <w:r>
        <w:rPr>
          <w:color w:val="231F20"/>
          <w:w w:val="105"/>
        </w:rPr>
        <w:t>to</w:t>
      </w:r>
      <w:r>
        <w:rPr>
          <w:color w:val="231F20"/>
          <w:spacing w:val="-23"/>
          <w:w w:val="105"/>
        </w:rPr>
        <w:t> </w:t>
      </w:r>
      <w:r>
        <w:rPr>
          <w:color w:val="231F20"/>
          <w:w w:val="105"/>
        </w:rPr>
        <w:t>that</w:t>
      </w:r>
      <w:r>
        <w:rPr>
          <w:color w:val="231F20"/>
          <w:spacing w:val="-23"/>
          <w:w w:val="105"/>
        </w:rPr>
        <w:t> </w:t>
      </w:r>
      <w:r>
        <w:rPr>
          <w:color w:val="231F20"/>
          <w:w w:val="105"/>
        </w:rPr>
        <w:t>article.</w:t>
      </w:r>
      <w:r>
        <w:rPr>
          <w:color w:val="231F20"/>
          <w:spacing w:val="-24"/>
          <w:w w:val="105"/>
        </w:rPr>
        <w:t> </w:t>
      </w:r>
      <w:r>
        <w:rPr>
          <w:color w:val="231F20"/>
          <w:w w:val="105"/>
        </w:rPr>
        <w:t>Legal</w:t>
      </w:r>
      <w:r>
        <w:rPr>
          <w:color w:val="231F20"/>
          <w:spacing w:val="-23"/>
          <w:w w:val="105"/>
        </w:rPr>
        <w:t> </w:t>
      </w:r>
      <w:r>
        <w:rPr>
          <w:color w:val="231F20"/>
          <w:w w:val="105"/>
        </w:rPr>
        <w:t>entities</w:t>
      </w:r>
    </w:p>
    <w:p>
      <w:pPr>
        <w:pStyle w:val="BodyText"/>
        <w:spacing w:line="276" w:lineRule="auto"/>
        <w:ind w:left="560" w:right="27"/>
      </w:pPr>
      <w:r>
        <w:rPr>
          <w:color w:val="231F20"/>
        </w:rPr>
        <w:t>that are linked to one another, through capital, voting rights, management or in any other manner, as well as all natural persons or legal entities achieving an understanding or forming a syndicate or otherwise acting in </w:t>
      </w:r>
      <w:r>
        <w:rPr>
          <w:color w:val="231F20"/>
          <w:spacing w:val="2"/>
        </w:rPr>
        <w:t>concert </w:t>
      </w:r>
      <w:r>
        <w:rPr>
          <w:color w:val="231F20"/>
        </w:rPr>
        <w:t>to circumvent the regulations concerning the limitation on registration or the nominees, shall be counted  as  one person or nominee (art. 5 </w:t>
      </w:r>
      <w:r>
        <w:rPr>
          <w:color w:val="231F20"/>
          <w:spacing w:val="-3"/>
        </w:rPr>
        <w:t>par. </w:t>
      </w:r>
      <w:r>
        <w:rPr>
          <w:color w:val="231F20"/>
        </w:rPr>
        <w:t>7 of the Articles of Association). The limitation on registration also</w:t>
      </w:r>
      <w:r>
        <w:rPr>
          <w:color w:val="231F20"/>
          <w:spacing w:val="10"/>
        </w:rPr>
        <w:t> </w:t>
      </w:r>
      <w:r>
        <w:rPr>
          <w:color w:val="231F20"/>
        </w:rPr>
        <w:t>applies</w:t>
      </w:r>
    </w:p>
    <w:p>
      <w:pPr>
        <w:pStyle w:val="BodyText"/>
        <w:spacing w:line="276" w:lineRule="auto"/>
        <w:ind w:left="560"/>
      </w:pPr>
      <w:r>
        <w:rPr>
          <w:color w:val="231F20"/>
        </w:rPr>
        <w:t>to shares acquired or subscribed by the exercise of subscription,</w:t>
      </w:r>
      <w:r>
        <w:rPr>
          <w:color w:val="231F20"/>
          <w:spacing w:val="10"/>
        </w:rPr>
        <w:t> </w:t>
      </w:r>
      <w:r>
        <w:rPr>
          <w:color w:val="231F20"/>
        </w:rPr>
        <w:t>option</w:t>
      </w:r>
      <w:r>
        <w:rPr>
          <w:color w:val="231F20"/>
          <w:spacing w:val="10"/>
        </w:rPr>
        <w:t> </w:t>
      </w:r>
      <w:r>
        <w:rPr>
          <w:color w:val="231F20"/>
        </w:rPr>
        <w:t>or</w:t>
      </w:r>
      <w:r>
        <w:rPr>
          <w:color w:val="231F20"/>
          <w:spacing w:val="10"/>
        </w:rPr>
        <w:t> </w:t>
      </w:r>
      <w:r>
        <w:rPr>
          <w:color w:val="231F20"/>
        </w:rPr>
        <w:t>conversion</w:t>
      </w:r>
      <w:r>
        <w:rPr>
          <w:color w:val="231F20"/>
          <w:spacing w:val="10"/>
        </w:rPr>
        <w:t> </w:t>
      </w:r>
      <w:r>
        <w:rPr>
          <w:color w:val="231F20"/>
        </w:rPr>
        <w:t>rights</w:t>
      </w:r>
      <w:r>
        <w:rPr>
          <w:color w:val="231F20"/>
          <w:spacing w:val="10"/>
        </w:rPr>
        <w:t> </w:t>
      </w:r>
      <w:r>
        <w:rPr>
          <w:color w:val="231F20"/>
        </w:rPr>
        <w:t>(art.</w:t>
      </w:r>
      <w:r>
        <w:rPr>
          <w:color w:val="231F20"/>
          <w:spacing w:val="10"/>
        </w:rPr>
        <w:t> </w:t>
      </w:r>
      <w:r>
        <w:rPr>
          <w:color w:val="231F20"/>
        </w:rPr>
        <w:t>5</w:t>
      </w:r>
      <w:r>
        <w:rPr>
          <w:color w:val="231F20"/>
          <w:spacing w:val="10"/>
        </w:rPr>
        <w:t> </w:t>
      </w:r>
      <w:r>
        <w:rPr>
          <w:color w:val="231F20"/>
          <w:spacing w:val="-3"/>
        </w:rPr>
        <w:t>par.</w:t>
      </w:r>
      <w:r>
        <w:rPr>
          <w:color w:val="231F20"/>
          <w:spacing w:val="10"/>
        </w:rPr>
        <w:t> </w:t>
      </w:r>
      <w:r>
        <w:rPr>
          <w:color w:val="231F20"/>
          <w:spacing w:val="-5"/>
        </w:rPr>
        <w:t>10</w:t>
      </w:r>
    </w:p>
    <w:p>
      <w:pPr>
        <w:pStyle w:val="BodyText"/>
        <w:spacing w:line="276" w:lineRule="auto"/>
        <w:ind w:left="560" w:right="194"/>
      </w:pPr>
      <w:r>
        <w:rPr>
          <w:color w:val="231F20"/>
        </w:rPr>
        <w:t>of the Articles of Association). See also art. 5 par. 6 and 9 of the Articles of Association and point 2.6.3 below.</w:t>
      </w:r>
    </w:p>
    <w:p>
      <w:pPr>
        <w:pStyle w:val="BodyText"/>
        <w:spacing w:before="11"/>
        <w:rPr>
          <w:sz w:val="19"/>
        </w:rPr>
      </w:pPr>
    </w:p>
    <w:p>
      <w:pPr>
        <w:pStyle w:val="ListParagraph"/>
        <w:numPr>
          <w:ilvl w:val="2"/>
          <w:numId w:val="2"/>
        </w:numPr>
        <w:tabs>
          <w:tab w:pos="1019" w:val="left" w:leader="none"/>
        </w:tabs>
        <w:spacing w:line="276" w:lineRule="auto" w:before="0" w:after="0"/>
        <w:ind w:left="560" w:right="13" w:firstLine="0"/>
        <w:jc w:val="left"/>
        <w:rPr>
          <w:sz w:val="18"/>
        </w:rPr>
      </w:pPr>
      <w:r>
        <w:rPr>
          <w:color w:val="586670"/>
          <w:sz w:val="18"/>
        </w:rPr>
        <w:t>Reasons </w:t>
      </w:r>
      <w:r>
        <w:rPr>
          <w:color w:val="586670"/>
          <w:spacing w:val="-3"/>
          <w:sz w:val="18"/>
        </w:rPr>
        <w:t>for granting exceptions </w:t>
      </w:r>
      <w:r>
        <w:rPr>
          <w:color w:val="586670"/>
          <w:sz w:val="18"/>
        </w:rPr>
        <w:t>in the year under </w:t>
      </w:r>
      <w:r>
        <w:rPr>
          <w:color w:val="586670"/>
          <w:spacing w:val="-3"/>
          <w:sz w:val="18"/>
        </w:rPr>
        <w:t>review</w:t>
      </w:r>
      <w:r>
        <w:rPr>
          <w:color w:val="231F20"/>
          <w:spacing w:val="-3"/>
          <w:sz w:val="18"/>
        </w:rPr>
        <w:t> </w:t>
      </w:r>
      <w:r>
        <w:rPr>
          <w:color w:val="231F20"/>
          <w:sz w:val="18"/>
        </w:rPr>
        <w:t>Please refer to points 2.6.3 and </w:t>
      </w:r>
      <w:r>
        <w:rPr>
          <w:color w:val="231F20"/>
          <w:spacing w:val="-6"/>
          <w:sz w:val="18"/>
        </w:rPr>
        <w:t>6.1.2</w:t>
      </w:r>
      <w:r>
        <w:rPr>
          <w:color w:val="231F20"/>
          <w:spacing w:val="-14"/>
          <w:sz w:val="18"/>
        </w:rPr>
        <w:t> </w:t>
      </w:r>
      <w:r>
        <w:rPr>
          <w:color w:val="231F20"/>
          <w:sz w:val="18"/>
        </w:rPr>
        <w:t>below.</w:t>
      </w:r>
    </w:p>
    <w:p>
      <w:pPr>
        <w:pStyle w:val="ListParagraph"/>
        <w:numPr>
          <w:ilvl w:val="2"/>
          <w:numId w:val="2"/>
        </w:numPr>
        <w:tabs>
          <w:tab w:pos="654" w:val="left" w:leader="none"/>
        </w:tabs>
        <w:spacing w:line="240" w:lineRule="auto" w:before="108" w:after="0"/>
        <w:ind w:left="653" w:right="0" w:hanging="457"/>
        <w:jc w:val="left"/>
        <w:rPr>
          <w:sz w:val="18"/>
        </w:rPr>
      </w:pPr>
      <w:r>
        <w:rPr>
          <w:color w:val="586670"/>
          <w:w w:val="120"/>
          <w:sz w:val="18"/>
        </w:rPr>
        <w:br w:type="column"/>
      </w:r>
      <w:r>
        <w:rPr>
          <w:color w:val="586670"/>
          <w:sz w:val="18"/>
        </w:rPr>
        <w:t>Admissibility of nominee registrations, along</w:t>
      </w:r>
      <w:r>
        <w:rPr>
          <w:color w:val="586670"/>
          <w:spacing w:val="-8"/>
          <w:sz w:val="18"/>
        </w:rPr>
        <w:t> </w:t>
      </w:r>
      <w:r>
        <w:rPr>
          <w:color w:val="586670"/>
          <w:sz w:val="18"/>
        </w:rPr>
        <w:t>with</w:t>
      </w:r>
    </w:p>
    <w:p>
      <w:pPr>
        <w:pStyle w:val="BodyText"/>
        <w:spacing w:line="276" w:lineRule="auto" w:before="31"/>
        <w:ind w:left="650" w:right="124"/>
      </w:pPr>
      <w:r>
        <w:rPr>
          <w:color w:val="586670"/>
        </w:rPr>
        <w:t>an indication of percent clauses, if any, and registration conditions</w:t>
      </w:r>
    </w:p>
    <w:p>
      <w:pPr>
        <w:pStyle w:val="BodyText"/>
        <w:spacing w:line="276" w:lineRule="auto"/>
        <w:ind w:left="196" w:right="58"/>
      </w:pPr>
      <w:r>
        <w:rPr>
          <w:color w:val="231F20"/>
          <w:w w:val="105"/>
        </w:rPr>
        <w:t>Pursuant</w:t>
      </w:r>
      <w:r>
        <w:rPr>
          <w:color w:val="231F20"/>
          <w:spacing w:val="-13"/>
          <w:w w:val="105"/>
        </w:rPr>
        <w:t> </w:t>
      </w:r>
      <w:r>
        <w:rPr>
          <w:color w:val="231F20"/>
          <w:w w:val="105"/>
        </w:rPr>
        <w:t>to</w:t>
      </w:r>
      <w:r>
        <w:rPr>
          <w:color w:val="231F20"/>
          <w:spacing w:val="-13"/>
          <w:w w:val="105"/>
        </w:rPr>
        <w:t> </w:t>
      </w:r>
      <w:r>
        <w:rPr>
          <w:color w:val="231F20"/>
          <w:w w:val="105"/>
        </w:rPr>
        <w:t>art.</w:t>
      </w:r>
      <w:r>
        <w:rPr>
          <w:color w:val="231F20"/>
          <w:spacing w:val="-13"/>
          <w:w w:val="105"/>
        </w:rPr>
        <w:t> </w:t>
      </w:r>
      <w:r>
        <w:rPr>
          <w:color w:val="231F20"/>
          <w:w w:val="105"/>
        </w:rPr>
        <w:t>5</w:t>
      </w:r>
      <w:r>
        <w:rPr>
          <w:color w:val="231F20"/>
          <w:spacing w:val="-13"/>
          <w:w w:val="105"/>
        </w:rPr>
        <w:t> </w:t>
      </w:r>
      <w:r>
        <w:rPr>
          <w:color w:val="231F20"/>
          <w:spacing w:val="-3"/>
          <w:w w:val="105"/>
        </w:rPr>
        <w:t>par.</w:t>
      </w:r>
      <w:r>
        <w:rPr>
          <w:color w:val="231F20"/>
          <w:spacing w:val="-13"/>
          <w:w w:val="105"/>
        </w:rPr>
        <w:t> </w:t>
      </w:r>
      <w:r>
        <w:rPr>
          <w:color w:val="231F20"/>
          <w:w w:val="105"/>
        </w:rPr>
        <w:t>6</w:t>
      </w:r>
      <w:r>
        <w:rPr>
          <w:color w:val="231F20"/>
          <w:spacing w:val="-13"/>
          <w:w w:val="105"/>
        </w:rPr>
        <w:t> </w:t>
      </w:r>
      <w:r>
        <w:rPr>
          <w:color w:val="231F20"/>
          <w:w w:val="105"/>
        </w:rPr>
        <w:t>and</w:t>
      </w:r>
      <w:r>
        <w:rPr>
          <w:color w:val="231F20"/>
          <w:spacing w:val="-12"/>
          <w:w w:val="105"/>
        </w:rPr>
        <w:t> </w:t>
      </w:r>
      <w:r>
        <w:rPr>
          <w:color w:val="231F20"/>
          <w:w w:val="105"/>
        </w:rPr>
        <w:t>9</w:t>
      </w:r>
      <w:r>
        <w:rPr>
          <w:color w:val="231F20"/>
          <w:spacing w:val="-13"/>
          <w:w w:val="105"/>
        </w:rPr>
        <w:t> </w:t>
      </w:r>
      <w:r>
        <w:rPr>
          <w:color w:val="231F20"/>
          <w:w w:val="105"/>
        </w:rPr>
        <w:t>of</w:t>
      </w:r>
      <w:r>
        <w:rPr>
          <w:color w:val="231F20"/>
          <w:spacing w:val="-13"/>
          <w:w w:val="105"/>
        </w:rPr>
        <w:t> </w:t>
      </w:r>
      <w:r>
        <w:rPr>
          <w:color w:val="231F20"/>
          <w:w w:val="105"/>
        </w:rPr>
        <w:t>the</w:t>
      </w:r>
      <w:r>
        <w:rPr>
          <w:color w:val="231F20"/>
          <w:spacing w:val="-13"/>
          <w:w w:val="105"/>
        </w:rPr>
        <w:t> </w:t>
      </w:r>
      <w:r>
        <w:rPr>
          <w:color w:val="231F20"/>
          <w:w w:val="105"/>
        </w:rPr>
        <w:t>Articles</w:t>
      </w:r>
      <w:r>
        <w:rPr>
          <w:color w:val="231F20"/>
          <w:spacing w:val="-13"/>
          <w:w w:val="105"/>
        </w:rPr>
        <w:t> </w:t>
      </w:r>
      <w:r>
        <w:rPr>
          <w:color w:val="231F20"/>
          <w:w w:val="105"/>
        </w:rPr>
        <w:t>of</w:t>
      </w:r>
      <w:r>
        <w:rPr>
          <w:color w:val="231F20"/>
          <w:spacing w:val="-13"/>
          <w:w w:val="105"/>
        </w:rPr>
        <w:t> </w:t>
      </w:r>
      <w:r>
        <w:rPr>
          <w:color w:val="231F20"/>
          <w:w w:val="105"/>
        </w:rPr>
        <w:t>Association, the Board of Directors has issued regulations concerning nominees,</w:t>
      </w:r>
      <w:r>
        <w:rPr>
          <w:color w:val="231F20"/>
          <w:spacing w:val="-17"/>
          <w:w w:val="105"/>
        </w:rPr>
        <w:t> </w:t>
      </w:r>
      <w:r>
        <w:rPr>
          <w:color w:val="231F20"/>
          <w:w w:val="105"/>
        </w:rPr>
        <w:t>setting</w:t>
      </w:r>
      <w:r>
        <w:rPr>
          <w:color w:val="231F20"/>
          <w:spacing w:val="-16"/>
          <w:w w:val="105"/>
        </w:rPr>
        <w:t> </w:t>
      </w:r>
      <w:r>
        <w:rPr>
          <w:color w:val="231F20"/>
          <w:w w:val="105"/>
        </w:rPr>
        <w:t>forth</w:t>
      </w:r>
      <w:r>
        <w:rPr>
          <w:color w:val="231F20"/>
          <w:spacing w:val="-17"/>
          <w:w w:val="105"/>
        </w:rPr>
        <w:t> </w:t>
      </w:r>
      <w:r>
        <w:rPr>
          <w:color w:val="231F20"/>
          <w:w w:val="105"/>
        </w:rPr>
        <w:t>rules</w:t>
      </w:r>
      <w:r>
        <w:rPr>
          <w:color w:val="231F20"/>
          <w:spacing w:val="-17"/>
          <w:w w:val="105"/>
        </w:rPr>
        <w:t> </w:t>
      </w:r>
      <w:r>
        <w:rPr>
          <w:color w:val="231F20"/>
          <w:w w:val="105"/>
        </w:rPr>
        <w:t>for</w:t>
      </w:r>
      <w:r>
        <w:rPr>
          <w:color w:val="231F20"/>
          <w:spacing w:val="-16"/>
          <w:w w:val="105"/>
        </w:rPr>
        <w:t> </w:t>
      </w:r>
      <w:r>
        <w:rPr>
          <w:color w:val="231F20"/>
          <w:w w:val="105"/>
        </w:rPr>
        <w:t>their</w:t>
      </w:r>
      <w:r>
        <w:rPr>
          <w:color w:val="231F20"/>
          <w:spacing w:val="-17"/>
          <w:w w:val="105"/>
        </w:rPr>
        <w:t> </w:t>
      </w:r>
      <w:r>
        <w:rPr>
          <w:color w:val="231F20"/>
          <w:w w:val="105"/>
        </w:rPr>
        <w:t>entry</w:t>
      </w:r>
      <w:r>
        <w:rPr>
          <w:color w:val="231F20"/>
          <w:spacing w:val="-16"/>
          <w:w w:val="105"/>
        </w:rPr>
        <w:t> </w:t>
      </w:r>
      <w:r>
        <w:rPr>
          <w:color w:val="231F20"/>
          <w:w w:val="105"/>
        </w:rPr>
        <w:t>as</w:t>
      </w:r>
      <w:r>
        <w:rPr>
          <w:color w:val="231F20"/>
          <w:spacing w:val="-17"/>
          <w:w w:val="105"/>
        </w:rPr>
        <w:t> </w:t>
      </w:r>
      <w:r>
        <w:rPr>
          <w:color w:val="231F20"/>
          <w:w w:val="105"/>
        </w:rPr>
        <w:t>shareholders in</w:t>
      </w:r>
      <w:r>
        <w:rPr>
          <w:color w:val="231F20"/>
          <w:spacing w:val="-26"/>
          <w:w w:val="105"/>
        </w:rPr>
        <w:t> </w:t>
      </w:r>
      <w:r>
        <w:rPr>
          <w:color w:val="231F20"/>
          <w:w w:val="105"/>
        </w:rPr>
        <w:t>the</w:t>
      </w:r>
      <w:r>
        <w:rPr>
          <w:color w:val="231F20"/>
          <w:spacing w:val="-25"/>
          <w:w w:val="105"/>
        </w:rPr>
        <w:t> </w:t>
      </w:r>
      <w:r>
        <w:rPr>
          <w:color w:val="231F20"/>
          <w:w w:val="105"/>
        </w:rPr>
        <w:t>share</w:t>
      </w:r>
      <w:r>
        <w:rPr>
          <w:color w:val="231F20"/>
          <w:spacing w:val="-25"/>
          <w:w w:val="105"/>
        </w:rPr>
        <w:t> </w:t>
      </w:r>
      <w:r>
        <w:rPr>
          <w:color w:val="231F20"/>
          <w:w w:val="105"/>
        </w:rPr>
        <w:t>register.</w:t>
      </w:r>
      <w:r>
        <w:rPr>
          <w:color w:val="231F20"/>
          <w:spacing w:val="-25"/>
          <w:w w:val="105"/>
        </w:rPr>
        <w:t> </w:t>
      </w:r>
      <w:r>
        <w:rPr>
          <w:color w:val="231F20"/>
          <w:w w:val="105"/>
        </w:rPr>
        <w:t>These</w:t>
      </w:r>
      <w:r>
        <w:rPr>
          <w:color w:val="231F20"/>
          <w:spacing w:val="-25"/>
          <w:w w:val="105"/>
        </w:rPr>
        <w:t> </w:t>
      </w:r>
      <w:r>
        <w:rPr>
          <w:color w:val="231F20"/>
          <w:w w:val="105"/>
        </w:rPr>
        <w:t>regulations</w:t>
      </w:r>
      <w:r>
        <w:rPr>
          <w:color w:val="231F20"/>
          <w:spacing w:val="-25"/>
          <w:w w:val="105"/>
        </w:rPr>
        <w:t> </w:t>
      </w:r>
      <w:r>
        <w:rPr>
          <w:color w:val="231F20"/>
          <w:w w:val="105"/>
        </w:rPr>
        <w:t>allow</w:t>
      </w:r>
      <w:r>
        <w:rPr>
          <w:color w:val="231F20"/>
          <w:spacing w:val="-25"/>
          <w:w w:val="105"/>
        </w:rPr>
        <w:t> </w:t>
      </w:r>
      <w:r>
        <w:rPr>
          <w:color w:val="231F20"/>
          <w:w w:val="105"/>
        </w:rPr>
        <w:t>the</w:t>
      </w:r>
      <w:r>
        <w:rPr>
          <w:color w:val="231F20"/>
          <w:spacing w:val="-26"/>
          <w:w w:val="105"/>
        </w:rPr>
        <w:t> </w:t>
      </w:r>
      <w:r>
        <w:rPr>
          <w:color w:val="231F20"/>
          <w:w w:val="105"/>
        </w:rPr>
        <w:t>registration of:</w:t>
      </w:r>
    </w:p>
    <w:p>
      <w:pPr>
        <w:pStyle w:val="BodyText"/>
        <w:spacing w:line="276" w:lineRule="auto"/>
        <w:ind w:left="423" w:right="58" w:hanging="227"/>
      </w:pPr>
      <w:r>
        <w:rPr>
          <w:color w:val="231F20"/>
          <w:w w:val="115"/>
        </w:rPr>
        <w:t>– </w:t>
      </w:r>
      <w:r>
        <w:rPr>
          <w:color w:val="231F20"/>
          <w:w w:val="105"/>
        </w:rPr>
        <w:t>Nominees N (“N” as Name of beneficial owner disclosed): where trading and safekeeping practices make individual registration of beneficial owners difficult or impractical, shareholders may register their holdings through</w:t>
      </w:r>
    </w:p>
    <w:p>
      <w:pPr>
        <w:pStyle w:val="BodyText"/>
        <w:spacing w:line="276" w:lineRule="auto"/>
        <w:ind w:left="423" w:right="179"/>
      </w:pPr>
      <w:r>
        <w:rPr>
          <w:color w:val="231F20"/>
          <w:w w:val="105"/>
        </w:rPr>
        <w:t>a Nominee N with voting rights, subject to the specific understanding</w:t>
      </w:r>
      <w:r>
        <w:rPr>
          <w:color w:val="231F20"/>
          <w:spacing w:val="-26"/>
          <w:w w:val="105"/>
        </w:rPr>
        <w:t> </w:t>
      </w:r>
      <w:r>
        <w:rPr>
          <w:color w:val="231F20"/>
          <w:w w:val="105"/>
        </w:rPr>
        <w:t>that</w:t>
      </w:r>
      <w:r>
        <w:rPr>
          <w:color w:val="231F20"/>
          <w:spacing w:val="-25"/>
          <w:w w:val="105"/>
        </w:rPr>
        <w:t> </w:t>
      </w:r>
      <w:r>
        <w:rPr>
          <w:color w:val="231F20"/>
          <w:w w:val="105"/>
        </w:rPr>
        <w:t>the</w:t>
      </w:r>
      <w:r>
        <w:rPr>
          <w:color w:val="231F20"/>
          <w:spacing w:val="-26"/>
          <w:w w:val="105"/>
        </w:rPr>
        <w:t> </w:t>
      </w:r>
      <w:r>
        <w:rPr>
          <w:color w:val="231F20"/>
          <w:w w:val="105"/>
        </w:rPr>
        <w:t>identity</w:t>
      </w:r>
      <w:r>
        <w:rPr>
          <w:color w:val="231F20"/>
          <w:spacing w:val="-25"/>
          <w:w w:val="105"/>
        </w:rPr>
        <w:t> </w:t>
      </w:r>
      <w:r>
        <w:rPr>
          <w:color w:val="231F20"/>
          <w:w w:val="105"/>
        </w:rPr>
        <w:t>and</w:t>
      </w:r>
      <w:r>
        <w:rPr>
          <w:color w:val="231F20"/>
          <w:spacing w:val="-25"/>
          <w:w w:val="105"/>
        </w:rPr>
        <w:t> </w:t>
      </w:r>
      <w:r>
        <w:rPr>
          <w:color w:val="231F20"/>
          <w:w w:val="105"/>
        </w:rPr>
        <w:t>holdings</w:t>
      </w:r>
      <w:r>
        <w:rPr>
          <w:color w:val="231F20"/>
          <w:spacing w:val="-26"/>
          <w:w w:val="105"/>
        </w:rPr>
        <w:t> </w:t>
      </w:r>
      <w:r>
        <w:rPr>
          <w:color w:val="231F20"/>
          <w:w w:val="105"/>
        </w:rPr>
        <w:t>of</w:t>
      </w:r>
      <w:r>
        <w:rPr>
          <w:color w:val="231F20"/>
          <w:spacing w:val="-25"/>
          <w:w w:val="105"/>
        </w:rPr>
        <w:t> </w:t>
      </w:r>
      <w:r>
        <w:rPr>
          <w:color w:val="231F20"/>
          <w:w w:val="105"/>
        </w:rPr>
        <w:t>beneficial owners</w:t>
      </w:r>
      <w:r>
        <w:rPr>
          <w:color w:val="231F20"/>
          <w:spacing w:val="-18"/>
          <w:w w:val="105"/>
        </w:rPr>
        <w:t> </w:t>
      </w:r>
      <w:r>
        <w:rPr>
          <w:color w:val="231F20"/>
          <w:w w:val="105"/>
        </w:rPr>
        <w:t>are</w:t>
      </w:r>
      <w:r>
        <w:rPr>
          <w:color w:val="231F20"/>
          <w:spacing w:val="-17"/>
          <w:w w:val="105"/>
        </w:rPr>
        <w:t> </w:t>
      </w:r>
      <w:r>
        <w:rPr>
          <w:color w:val="231F20"/>
          <w:w w:val="105"/>
        </w:rPr>
        <w:t>to</w:t>
      </w:r>
      <w:r>
        <w:rPr>
          <w:color w:val="231F20"/>
          <w:spacing w:val="-17"/>
          <w:w w:val="105"/>
        </w:rPr>
        <w:t> </w:t>
      </w:r>
      <w:r>
        <w:rPr>
          <w:color w:val="231F20"/>
          <w:w w:val="105"/>
        </w:rPr>
        <w:t>be</w:t>
      </w:r>
      <w:r>
        <w:rPr>
          <w:color w:val="231F20"/>
          <w:spacing w:val="-18"/>
          <w:w w:val="105"/>
        </w:rPr>
        <w:t> </w:t>
      </w:r>
      <w:r>
        <w:rPr>
          <w:color w:val="231F20"/>
          <w:w w:val="105"/>
        </w:rPr>
        <w:t>disclosed</w:t>
      </w:r>
      <w:r>
        <w:rPr>
          <w:color w:val="231F20"/>
          <w:spacing w:val="-17"/>
          <w:w w:val="105"/>
        </w:rPr>
        <w:t> </w:t>
      </w:r>
      <w:r>
        <w:rPr>
          <w:color w:val="231F20"/>
          <w:w w:val="105"/>
        </w:rPr>
        <w:t>to</w:t>
      </w:r>
      <w:r>
        <w:rPr>
          <w:color w:val="231F20"/>
          <w:spacing w:val="-17"/>
          <w:w w:val="105"/>
        </w:rPr>
        <w:t> </w:t>
      </w:r>
      <w:r>
        <w:rPr>
          <w:color w:val="231F20"/>
          <w:w w:val="105"/>
        </w:rPr>
        <w:t>the</w:t>
      </w:r>
      <w:r>
        <w:rPr>
          <w:color w:val="231F20"/>
          <w:spacing w:val="-18"/>
          <w:w w:val="105"/>
        </w:rPr>
        <w:t> </w:t>
      </w:r>
      <w:r>
        <w:rPr>
          <w:color w:val="231F20"/>
          <w:w w:val="105"/>
        </w:rPr>
        <w:t>Company,</w:t>
      </w:r>
      <w:r>
        <w:rPr>
          <w:color w:val="231F20"/>
          <w:spacing w:val="-17"/>
          <w:w w:val="105"/>
        </w:rPr>
        <w:t> </w:t>
      </w:r>
      <w:r>
        <w:rPr>
          <w:color w:val="231F20"/>
          <w:w w:val="105"/>
        </w:rPr>
        <w:t>periodically or upon request. Voting rights of Nominees are to be exercised on the basis of voting instructions received from</w:t>
      </w:r>
      <w:r>
        <w:rPr>
          <w:color w:val="231F20"/>
          <w:spacing w:val="-13"/>
          <w:w w:val="105"/>
        </w:rPr>
        <w:t> </w:t>
      </w:r>
      <w:r>
        <w:rPr>
          <w:color w:val="231F20"/>
          <w:w w:val="105"/>
        </w:rPr>
        <w:t>the</w:t>
      </w:r>
      <w:r>
        <w:rPr>
          <w:color w:val="231F20"/>
          <w:spacing w:val="-13"/>
          <w:w w:val="105"/>
        </w:rPr>
        <w:t> </w:t>
      </w:r>
      <w:r>
        <w:rPr>
          <w:color w:val="231F20"/>
          <w:w w:val="105"/>
        </w:rPr>
        <w:t>beneficial</w:t>
      </w:r>
      <w:r>
        <w:rPr>
          <w:color w:val="231F20"/>
          <w:spacing w:val="-13"/>
          <w:w w:val="105"/>
        </w:rPr>
        <w:t> </w:t>
      </w:r>
      <w:r>
        <w:rPr>
          <w:color w:val="231F20"/>
          <w:w w:val="105"/>
        </w:rPr>
        <w:t>owners.</w:t>
      </w:r>
      <w:r>
        <w:rPr>
          <w:color w:val="231F20"/>
          <w:spacing w:val="-12"/>
          <w:w w:val="105"/>
        </w:rPr>
        <w:t> </w:t>
      </w:r>
      <w:r>
        <w:rPr>
          <w:color w:val="231F20"/>
          <w:w w:val="105"/>
        </w:rPr>
        <w:t>Holdings</w:t>
      </w:r>
      <w:r>
        <w:rPr>
          <w:color w:val="231F20"/>
          <w:spacing w:val="-13"/>
          <w:w w:val="105"/>
        </w:rPr>
        <w:t> </w:t>
      </w:r>
      <w:r>
        <w:rPr>
          <w:color w:val="231F20"/>
          <w:w w:val="105"/>
        </w:rPr>
        <w:t>of</w:t>
      </w:r>
      <w:r>
        <w:rPr>
          <w:color w:val="231F20"/>
          <w:spacing w:val="-13"/>
          <w:w w:val="105"/>
        </w:rPr>
        <w:t> </w:t>
      </w:r>
      <w:r>
        <w:rPr>
          <w:color w:val="231F20"/>
          <w:w w:val="105"/>
        </w:rPr>
        <w:t>a</w:t>
      </w:r>
      <w:r>
        <w:rPr>
          <w:color w:val="231F20"/>
          <w:spacing w:val="-13"/>
          <w:w w:val="105"/>
        </w:rPr>
        <w:t> </w:t>
      </w:r>
      <w:r>
        <w:rPr>
          <w:color w:val="231F20"/>
          <w:w w:val="105"/>
        </w:rPr>
        <w:t>Nominee</w:t>
      </w:r>
      <w:r>
        <w:rPr>
          <w:color w:val="231F20"/>
          <w:spacing w:val="-12"/>
          <w:w w:val="105"/>
        </w:rPr>
        <w:t> </w:t>
      </w:r>
      <w:r>
        <w:rPr>
          <w:color w:val="231F20"/>
          <w:w w:val="105"/>
        </w:rPr>
        <w:t>N,</w:t>
      </w:r>
    </w:p>
    <w:p>
      <w:pPr>
        <w:pStyle w:val="BodyText"/>
        <w:spacing w:line="276" w:lineRule="auto"/>
        <w:ind w:left="423" w:right="58"/>
      </w:pPr>
      <w:r>
        <w:rPr>
          <w:color w:val="231F20"/>
          <w:w w:val="105"/>
        </w:rPr>
        <w:t>or Nominees N acting as an organised group or pursuant to</w:t>
      </w:r>
      <w:r>
        <w:rPr>
          <w:color w:val="231F20"/>
          <w:spacing w:val="-10"/>
          <w:w w:val="105"/>
        </w:rPr>
        <w:t> </w:t>
      </w:r>
      <w:r>
        <w:rPr>
          <w:color w:val="231F20"/>
          <w:w w:val="105"/>
        </w:rPr>
        <w:t>a</w:t>
      </w:r>
      <w:r>
        <w:rPr>
          <w:color w:val="231F20"/>
          <w:spacing w:val="-10"/>
          <w:w w:val="105"/>
        </w:rPr>
        <w:t> </w:t>
      </w:r>
      <w:r>
        <w:rPr>
          <w:color w:val="231F20"/>
          <w:w w:val="105"/>
        </w:rPr>
        <w:t>common</w:t>
      </w:r>
      <w:r>
        <w:rPr>
          <w:color w:val="231F20"/>
          <w:spacing w:val="-10"/>
          <w:w w:val="105"/>
        </w:rPr>
        <w:t> </w:t>
      </w:r>
      <w:r>
        <w:rPr>
          <w:color w:val="231F20"/>
          <w:w w:val="105"/>
        </w:rPr>
        <w:t>agreement,</w:t>
      </w:r>
      <w:r>
        <w:rPr>
          <w:color w:val="231F20"/>
          <w:spacing w:val="-10"/>
          <w:w w:val="105"/>
        </w:rPr>
        <w:t> </w:t>
      </w:r>
      <w:r>
        <w:rPr>
          <w:color w:val="231F20"/>
          <w:w w:val="105"/>
        </w:rPr>
        <w:t>may</w:t>
      </w:r>
      <w:r>
        <w:rPr>
          <w:color w:val="231F20"/>
          <w:spacing w:val="-10"/>
          <w:w w:val="105"/>
        </w:rPr>
        <w:t> </w:t>
      </w:r>
      <w:r>
        <w:rPr>
          <w:color w:val="231F20"/>
          <w:w w:val="105"/>
        </w:rPr>
        <w:t>not</w:t>
      </w:r>
      <w:r>
        <w:rPr>
          <w:color w:val="231F20"/>
          <w:spacing w:val="-10"/>
          <w:w w:val="105"/>
        </w:rPr>
        <w:t> </w:t>
      </w:r>
      <w:r>
        <w:rPr>
          <w:color w:val="231F20"/>
          <w:w w:val="105"/>
        </w:rPr>
        <w:t>exceed</w:t>
      </w:r>
      <w:r>
        <w:rPr>
          <w:color w:val="231F20"/>
          <w:spacing w:val="-10"/>
          <w:w w:val="105"/>
        </w:rPr>
        <w:t> </w:t>
      </w:r>
      <w:r>
        <w:rPr>
          <w:color w:val="231F20"/>
          <w:w w:val="105"/>
        </w:rPr>
        <w:t>5%</w:t>
      </w:r>
      <w:r>
        <w:rPr>
          <w:color w:val="231F20"/>
          <w:spacing w:val="-10"/>
          <w:w w:val="105"/>
        </w:rPr>
        <w:t> </w:t>
      </w:r>
      <w:r>
        <w:rPr>
          <w:color w:val="231F20"/>
          <w:w w:val="105"/>
        </w:rPr>
        <w:t>of</w:t>
      </w:r>
      <w:r>
        <w:rPr>
          <w:color w:val="231F20"/>
          <w:spacing w:val="-10"/>
          <w:w w:val="105"/>
        </w:rPr>
        <w:t> </w:t>
      </w:r>
      <w:r>
        <w:rPr>
          <w:color w:val="231F20"/>
          <w:w w:val="105"/>
        </w:rPr>
        <w:t>the</w:t>
      </w:r>
      <w:r>
        <w:rPr>
          <w:color w:val="231F20"/>
          <w:spacing w:val="-10"/>
          <w:w w:val="105"/>
        </w:rPr>
        <w:t> </w:t>
      </w:r>
      <w:r>
        <w:rPr>
          <w:color w:val="231F20"/>
          <w:w w:val="105"/>
        </w:rPr>
        <w:t>share capital of the Company. Holdings exceeding the 5% limit (respectively</w:t>
      </w:r>
      <w:r>
        <w:rPr>
          <w:color w:val="231F20"/>
          <w:spacing w:val="-25"/>
          <w:w w:val="105"/>
        </w:rPr>
        <w:t> </w:t>
      </w:r>
      <w:r>
        <w:rPr>
          <w:color w:val="231F20"/>
          <w:w w:val="105"/>
        </w:rPr>
        <w:t>the</w:t>
      </w:r>
      <w:r>
        <w:rPr>
          <w:color w:val="231F20"/>
          <w:spacing w:val="-25"/>
          <w:w w:val="105"/>
        </w:rPr>
        <w:t> </w:t>
      </w:r>
      <w:r>
        <w:rPr>
          <w:color w:val="231F20"/>
          <w:w w:val="105"/>
        </w:rPr>
        <w:t>limit</w:t>
      </w:r>
      <w:r>
        <w:rPr>
          <w:color w:val="231F20"/>
          <w:spacing w:val="-25"/>
          <w:w w:val="105"/>
        </w:rPr>
        <w:t> </w:t>
      </w:r>
      <w:r>
        <w:rPr>
          <w:color w:val="231F20"/>
          <w:w w:val="105"/>
        </w:rPr>
        <w:t>fixed</w:t>
      </w:r>
      <w:r>
        <w:rPr>
          <w:color w:val="231F20"/>
          <w:spacing w:val="-25"/>
          <w:w w:val="105"/>
        </w:rPr>
        <w:t> </w:t>
      </w:r>
      <w:r>
        <w:rPr>
          <w:color w:val="231F20"/>
          <w:w w:val="105"/>
        </w:rPr>
        <w:t>by</w:t>
      </w:r>
      <w:r>
        <w:rPr>
          <w:color w:val="231F20"/>
          <w:spacing w:val="-25"/>
          <w:w w:val="105"/>
        </w:rPr>
        <w:t> </w:t>
      </w:r>
      <w:r>
        <w:rPr>
          <w:color w:val="231F20"/>
          <w:w w:val="105"/>
        </w:rPr>
        <w:t>the</w:t>
      </w:r>
      <w:r>
        <w:rPr>
          <w:color w:val="231F20"/>
          <w:spacing w:val="-25"/>
          <w:w w:val="105"/>
        </w:rPr>
        <w:t> </w:t>
      </w:r>
      <w:r>
        <w:rPr>
          <w:color w:val="231F20"/>
          <w:w w:val="105"/>
        </w:rPr>
        <w:t>Board</w:t>
      </w:r>
      <w:r>
        <w:rPr>
          <w:color w:val="231F20"/>
          <w:spacing w:val="-25"/>
          <w:w w:val="105"/>
        </w:rPr>
        <w:t> </w:t>
      </w:r>
      <w:r>
        <w:rPr>
          <w:color w:val="231F20"/>
          <w:w w:val="105"/>
        </w:rPr>
        <w:t>of</w:t>
      </w:r>
      <w:r>
        <w:rPr>
          <w:color w:val="231F20"/>
          <w:spacing w:val="-25"/>
          <w:w w:val="105"/>
        </w:rPr>
        <w:t> </w:t>
      </w:r>
      <w:r>
        <w:rPr>
          <w:color w:val="231F20"/>
          <w:w w:val="105"/>
        </w:rPr>
        <w:t>Directors,</w:t>
      </w:r>
      <w:r>
        <w:rPr>
          <w:color w:val="231F20"/>
          <w:spacing w:val="-25"/>
          <w:w w:val="105"/>
        </w:rPr>
        <w:t> </w:t>
      </w:r>
      <w:r>
        <w:rPr>
          <w:color w:val="231F20"/>
          <w:w w:val="105"/>
        </w:rPr>
        <w:t>see point</w:t>
      </w:r>
      <w:r>
        <w:rPr>
          <w:color w:val="231F20"/>
          <w:spacing w:val="-20"/>
          <w:w w:val="105"/>
        </w:rPr>
        <w:t> </w:t>
      </w:r>
      <w:r>
        <w:rPr>
          <w:color w:val="231F20"/>
          <w:spacing w:val="-6"/>
          <w:w w:val="105"/>
        </w:rPr>
        <w:t>6.1.2</w:t>
      </w:r>
      <w:r>
        <w:rPr>
          <w:color w:val="231F20"/>
          <w:spacing w:val="-20"/>
          <w:w w:val="105"/>
        </w:rPr>
        <w:t> </w:t>
      </w:r>
      <w:r>
        <w:rPr>
          <w:color w:val="231F20"/>
          <w:w w:val="105"/>
        </w:rPr>
        <w:t>below)</w:t>
      </w:r>
      <w:r>
        <w:rPr>
          <w:color w:val="231F20"/>
          <w:spacing w:val="-20"/>
          <w:w w:val="105"/>
        </w:rPr>
        <w:t> </w:t>
      </w:r>
      <w:r>
        <w:rPr>
          <w:color w:val="231F20"/>
          <w:w w:val="105"/>
        </w:rPr>
        <w:t>are</w:t>
      </w:r>
      <w:r>
        <w:rPr>
          <w:color w:val="231F20"/>
          <w:spacing w:val="-20"/>
          <w:w w:val="105"/>
        </w:rPr>
        <w:t> </w:t>
      </w:r>
      <w:r>
        <w:rPr>
          <w:color w:val="231F20"/>
          <w:w w:val="105"/>
        </w:rPr>
        <w:t>registered</w:t>
      </w:r>
      <w:r>
        <w:rPr>
          <w:color w:val="231F20"/>
          <w:spacing w:val="-20"/>
          <w:w w:val="105"/>
        </w:rPr>
        <w:t> </w:t>
      </w:r>
      <w:r>
        <w:rPr>
          <w:color w:val="231F20"/>
          <w:w w:val="105"/>
        </w:rPr>
        <w:t>without</w:t>
      </w:r>
      <w:r>
        <w:rPr>
          <w:color w:val="231F20"/>
          <w:spacing w:val="-20"/>
          <w:w w:val="105"/>
        </w:rPr>
        <w:t> </w:t>
      </w:r>
      <w:r>
        <w:rPr>
          <w:color w:val="231F20"/>
          <w:w w:val="105"/>
        </w:rPr>
        <w:t>voting</w:t>
      </w:r>
      <w:r>
        <w:rPr>
          <w:color w:val="231F20"/>
          <w:spacing w:val="-20"/>
          <w:w w:val="105"/>
        </w:rPr>
        <w:t> </w:t>
      </w:r>
      <w:r>
        <w:rPr>
          <w:color w:val="231F20"/>
          <w:w w:val="105"/>
        </w:rPr>
        <w:t>rights.</w:t>
      </w:r>
    </w:p>
    <w:p>
      <w:pPr>
        <w:pStyle w:val="BodyText"/>
        <w:spacing w:line="276" w:lineRule="auto"/>
        <w:ind w:left="423" w:right="161"/>
        <w:jc w:val="both"/>
      </w:pPr>
      <w:r>
        <w:rPr>
          <w:color w:val="231F20"/>
        </w:rPr>
        <w:t>The responsibility for disclosure of beneficial owners and their holdings resides with the nominees registered in the share register.</w:t>
      </w:r>
    </w:p>
    <w:p>
      <w:pPr>
        <w:pStyle w:val="BodyText"/>
        <w:spacing w:line="276" w:lineRule="auto"/>
        <w:ind w:left="423" w:right="124" w:hanging="227"/>
      </w:pPr>
      <w:r>
        <w:rPr>
          <w:color w:val="231F20"/>
          <w:w w:val="115"/>
        </w:rPr>
        <w:t>– </w:t>
      </w:r>
      <w:r>
        <w:rPr>
          <w:color w:val="231F20"/>
          <w:w w:val="105"/>
        </w:rPr>
        <w:t>Nominees A (“A” as Anonymous beneficial owner): registration without voting rights.</w:t>
      </w:r>
    </w:p>
    <w:p>
      <w:pPr>
        <w:pStyle w:val="BodyText"/>
        <w:spacing w:before="10"/>
        <w:rPr>
          <w:sz w:val="19"/>
        </w:rPr>
      </w:pPr>
    </w:p>
    <w:p>
      <w:pPr>
        <w:pStyle w:val="ListParagraph"/>
        <w:numPr>
          <w:ilvl w:val="2"/>
          <w:numId w:val="2"/>
        </w:numPr>
        <w:tabs>
          <w:tab w:pos="652" w:val="left" w:leader="none"/>
        </w:tabs>
        <w:spacing w:line="276" w:lineRule="auto" w:before="0" w:after="0"/>
        <w:ind w:left="650" w:right="594" w:hanging="454"/>
        <w:jc w:val="left"/>
        <w:rPr>
          <w:sz w:val="18"/>
        </w:rPr>
      </w:pPr>
      <w:r>
        <w:rPr>
          <w:color w:val="586670"/>
          <w:sz w:val="18"/>
        </w:rPr>
        <w:t>Procedure and conditions for cancelling statutory privileges and limitations on</w:t>
      </w:r>
      <w:r>
        <w:rPr>
          <w:color w:val="586670"/>
          <w:spacing w:val="-26"/>
          <w:sz w:val="18"/>
        </w:rPr>
        <w:t> </w:t>
      </w:r>
      <w:r>
        <w:rPr>
          <w:color w:val="586670"/>
          <w:sz w:val="18"/>
        </w:rPr>
        <w:t>transferability</w:t>
      </w:r>
    </w:p>
    <w:p>
      <w:pPr>
        <w:pStyle w:val="BodyText"/>
        <w:spacing w:line="208" w:lineRule="exact"/>
        <w:ind w:left="196"/>
      </w:pPr>
      <w:r>
        <w:rPr>
          <w:color w:val="231F20"/>
        </w:rPr>
        <w:t>Please refer to point 6.1.3 below.</w:t>
      </w:r>
    </w:p>
    <w:p>
      <w:pPr>
        <w:pStyle w:val="BodyText"/>
        <w:spacing w:before="4"/>
        <w:rPr>
          <w:sz w:val="23"/>
        </w:rPr>
      </w:pPr>
    </w:p>
    <w:p>
      <w:pPr>
        <w:pStyle w:val="Heading3"/>
        <w:numPr>
          <w:ilvl w:val="1"/>
          <w:numId w:val="2"/>
        </w:numPr>
        <w:tabs>
          <w:tab w:pos="651" w:val="left" w:leader="none"/>
        </w:tabs>
        <w:spacing w:line="240" w:lineRule="auto" w:before="0" w:after="0"/>
        <w:ind w:left="650" w:right="0" w:hanging="454"/>
        <w:jc w:val="left"/>
      </w:pPr>
      <w:r>
        <w:rPr>
          <w:color w:val="586670"/>
          <w:w w:val="110"/>
        </w:rPr>
        <w:t>Convertible bonds and</w:t>
      </w:r>
      <w:r>
        <w:rPr>
          <w:color w:val="586670"/>
          <w:spacing w:val="-21"/>
          <w:w w:val="110"/>
        </w:rPr>
        <w:t> </w:t>
      </w:r>
      <w:r>
        <w:rPr>
          <w:color w:val="586670"/>
          <w:w w:val="110"/>
        </w:rPr>
        <w:t>options</w:t>
      </w:r>
    </w:p>
    <w:p>
      <w:pPr>
        <w:pStyle w:val="BodyText"/>
        <w:spacing w:line="276" w:lineRule="auto" w:before="31"/>
        <w:ind w:left="196" w:right="136"/>
      </w:pPr>
      <w:r>
        <w:rPr>
          <w:color w:val="231F20"/>
        </w:rPr>
        <w:t>As at </w:t>
      </w:r>
      <w:r>
        <w:rPr>
          <w:color w:val="231F20"/>
          <w:spacing w:val="-3"/>
        </w:rPr>
        <w:t>31 </w:t>
      </w:r>
      <w:r>
        <w:rPr>
          <w:color w:val="231F20"/>
        </w:rPr>
        <w:t>December </w:t>
      </w:r>
      <w:r>
        <w:rPr>
          <w:color w:val="231F20"/>
          <w:spacing w:val="-4"/>
        </w:rPr>
        <w:t>2013, </w:t>
      </w:r>
      <w:r>
        <w:rPr>
          <w:color w:val="231F20"/>
        </w:rPr>
        <w:t>there are no outstanding </w:t>
      </w:r>
      <w:r>
        <w:rPr>
          <w:color w:val="231F20"/>
          <w:spacing w:val="2"/>
          <w:w w:val="108"/>
        </w:rPr>
        <w:t>c</w:t>
      </w:r>
      <w:r>
        <w:rPr>
          <w:color w:val="231F20"/>
          <w:spacing w:val="1"/>
          <w:w w:val="109"/>
        </w:rPr>
        <w:t>o</w:t>
      </w:r>
      <w:r>
        <w:rPr>
          <w:color w:val="231F20"/>
          <w:spacing w:val="-3"/>
          <w:w w:val="108"/>
        </w:rPr>
        <w:t>n</w:t>
      </w:r>
      <w:r>
        <w:rPr>
          <w:color w:val="231F20"/>
          <w:spacing w:val="-1"/>
          <w:w w:val="107"/>
        </w:rPr>
        <w:t>v</w:t>
      </w:r>
      <w:r>
        <w:rPr>
          <w:color w:val="231F20"/>
          <w:spacing w:val="1"/>
          <w:w w:val="100"/>
        </w:rPr>
        <w:t>e</w:t>
      </w:r>
      <w:r>
        <w:rPr>
          <w:color w:val="231F20"/>
          <w:spacing w:val="8"/>
          <w:w w:val="90"/>
        </w:rPr>
        <w:t>r</w:t>
      </w:r>
      <w:r>
        <w:rPr>
          <w:color w:val="231F20"/>
          <w:w w:val="83"/>
        </w:rPr>
        <w:t>t</w:t>
      </w:r>
      <w:r>
        <w:rPr>
          <w:color w:val="231F20"/>
          <w:w w:val="99"/>
        </w:rPr>
        <w:t>i</w:t>
      </w:r>
      <w:r>
        <w:rPr>
          <w:color w:val="231F20"/>
          <w:spacing w:val="1"/>
          <w:w w:val="99"/>
        </w:rPr>
        <w:t>b</w:t>
      </w:r>
      <w:r>
        <w:rPr>
          <w:color w:val="231F20"/>
          <w:spacing w:val="1"/>
          <w:w w:val="81"/>
        </w:rPr>
        <w:t>l</w:t>
      </w:r>
      <w:r>
        <w:rPr>
          <w:color w:val="231F20"/>
          <w:w w:val="100"/>
        </w:rPr>
        <w:t>e</w:t>
      </w:r>
      <w:r>
        <w:rPr>
          <w:color w:val="231F20"/>
          <w:spacing w:val="-3"/>
        </w:rPr>
        <w:t> </w:t>
      </w:r>
      <w:r>
        <w:rPr>
          <w:color w:val="231F20"/>
          <w:spacing w:val="2"/>
          <w:w w:val="107"/>
        </w:rPr>
        <w:t>b</w:t>
      </w:r>
      <w:r>
        <w:rPr>
          <w:color w:val="231F20"/>
          <w:spacing w:val="1"/>
          <w:w w:val="109"/>
        </w:rPr>
        <w:t>o</w:t>
      </w:r>
      <w:r>
        <w:rPr>
          <w:color w:val="231F20"/>
          <w:spacing w:val="1"/>
          <w:w w:val="108"/>
        </w:rPr>
        <w:t>n</w:t>
      </w:r>
      <w:r>
        <w:rPr>
          <w:color w:val="231F20"/>
          <w:w w:val="107"/>
        </w:rPr>
        <w:t>d</w:t>
      </w:r>
      <w:r>
        <w:rPr>
          <w:color w:val="231F20"/>
          <w:w w:val="121"/>
        </w:rPr>
        <w:t>s</w:t>
      </w:r>
      <w:r>
        <w:rPr>
          <w:color w:val="231F20"/>
          <w:spacing w:val="-3"/>
        </w:rPr>
        <w:t> </w:t>
      </w:r>
      <w:r>
        <w:rPr>
          <w:color w:val="231F20"/>
          <w:w w:val="109"/>
        </w:rPr>
        <w:t>o</w:t>
      </w:r>
      <w:r>
        <w:rPr>
          <w:color w:val="231F20"/>
          <w:w w:val="90"/>
        </w:rPr>
        <w:t>r</w:t>
      </w:r>
      <w:r>
        <w:rPr>
          <w:color w:val="231F20"/>
          <w:spacing w:val="-3"/>
        </w:rPr>
        <w:t> </w:t>
      </w:r>
      <w:r>
        <w:rPr>
          <w:color w:val="231F20"/>
          <w:w w:val="113"/>
        </w:rPr>
        <w:t>w</w:t>
      </w:r>
      <w:r>
        <w:rPr>
          <w:color w:val="231F20"/>
          <w:spacing w:val="-1"/>
          <w:w w:val="101"/>
        </w:rPr>
        <w:t>a</w:t>
      </w:r>
      <w:r>
        <w:rPr>
          <w:color w:val="231F20"/>
          <w:spacing w:val="2"/>
          <w:w w:val="90"/>
        </w:rPr>
        <w:t>rr</w:t>
      </w:r>
      <w:r>
        <w:rPr>
          <w:color w:val="231F20"/>
          <w:spacing w:val="-1"/>
          <w:w w:val="101"/>
        </w:rPr>
        <w:t>a</w:t>
      </w:r>
      <w:r>
        <w:rPr>
          <w:color w:val="231F20"/>
          <w:spacing w:val="-1"/>
          <w:w w:val="108"/>
        </w:rPr>
        <w:t>n</w:t>
      </w:r>
      <w:r>
        <w:rPr>
          <w:color w:val="231F20"/>
          <w:spacing w:val="2"/>
          <w:w w:val="83"/>
        </w:rPr>
        <w:t>t</w:t>
      </w:r>
      <w:r>
        <w:rPr>
          <w:color w:val="231F20"/>
          <w:spacing w:val="3"/>
          <w:w w:val="121"/>
        </w:rPr>
        <w:t>s</w:t>
      </w:r>
      <w:r>
        <w:rPr>
          <w:color w:val="231F20"/>
          <w:spacing w:val="-5"/>
          <w:w w:val="57"/>
        </w:rPr>
        <w:t>/</w:t>
      </w:r>
      <w:r>
        <w:rPr>
          <w:color w:val="231F20"/>
          <w:spacing w:val="1"/>
          <w:w w:val="109"/>
        </w:rPr>
        <w:t>o</w:t>
      </w:r>
      <w:r>
        <w:rPr>
          <w:color w:val="231F20"/>
          <w:w w:val="97"/>
        </w:rPr>
        <w:t>pt</w:t>
      </w:r>
      <w:r>
        <w:rPr>
          <w:color w:val="231F20"/>
          <w:w w:val="83"/>
        </w:rPr>
        <w:t>i</w:t>
      </w:r>
      <w:r>
        <w:rPr>
          <w:color w:val="231F20"/>
          <w:spacing w:val="1"/>
          <w:w w:val="109"/>
        </w:rPr>
        <w:t>o</w:t>
      </w:r>
      <w:r>
        <w:rPr>
          <w:color w:val="231F20"/>
          <w:w w:val="108"/>
        </w:rPr>
        <w:t>n</w:t>
      </w:r>
      <w:r>
        <w:rPr>
          <w:color w:val="231F20"/>
          <w:w w:val="121"/>
        </w:rPr>
        <w:t>s</w:t>
      </w:r>
      <w:r>
        <w:rPr>
          <w:color w:val="231F20"/>
          <w:spacing w:val="-3"/>
        </w:rPr>
        <w:t> </w:t>
      </w:r>
      <w:r>
        <w:rPr>
          <w:color w:val="231F20"/>
          <w:w w:val="83"/>
        </w:rPr>
        <w:t>i</w:t>
      </w:r>
      <w:r>
        <w:rPr>
          <w:color w:val="231F20"/>
          <w:spacing w:val="1"/>
          <w:w w:val="121"/>
        </w:rPr>
        <w:t>s</w:t>
      </w:r>
      <w:r>
        <w:rPr>
          <w:color w:val="231F20"/>
          <w:w w:val="113"/>
        </w:rPr>
        <w:t>s</w:t>
      </w:r>
      <w:r>
        <w:rPr>
          <w:color w:val="231F20"/>
          <w:spacing w:val="1"/>
          <w:w w:val="113"/>
        </w:rPr>
        <w:t>u</w:t>
      </w:r>
      <w:r>
        <w:rPr>
          <w:color w:val="231F20"/>
          <w:spacing w:val="2"/>
          <w:w w:val="100"/>
        </w:rPr>
        <w:t>e</w:t>
      </w:r>
      <w:r>
        <w:rPr>
          <w:color w:val="231F20"/>
          <w:w w:val="107"/>
        </w:rPr>
        <w:t>d</w:t>
      </w:r>
      <w:r>
        <w:rPr>
          <w:color w:val="231F20"/>
          <w:spacing w:val="-3"/>
        </w:rPr>
        <w:t> </w:t>
      </w:r>
      <w:r>
        <w:rPr>
          <w:color w:val="231F20"/>
          <w:spacing w:val="-1"/>
          <w:w w:val="107"/>
        </w:rPr>
        <w:t>b</w:t>
      </w:r>
      <w:r>
        <w:rPr>
          <w:color w:val="231F20"/>
          <w:w w:val="105"/>
        </w:rPr>
        <w:t>y</w:t>
      </w:r>
      <w:r>
        <w:rPr>
          <w:color w:val="231F20"/>
          <w:spacing w:val="-3"/>
        </w:rPr>
        <w:t> </w:t>
      </w:r>
      <w:r>
        <w:rPr>
          <w:color w:val="231F20"/>
          <w:spacing w:val="1"/>
          <w:w w:val="119"/>
        </w:rPr>
        <w:t>N</w:t>
      </w:r>
      <w:r>
        <w:rPr>
          <w:color w:val="231F20"/>
          <w:spacing w:val="1"/>
          <w:w w:val="100"/>
        </w:rPr>
        <w:t>e</w:t>
      </w:r>
      <w:r>
        <w:rPr>
          <w:color w:val="231F20"/>
          <w:spacing w:val="1"/>
          <w:w w:val="121"/>
        </w:rPr>
        <w:t>s</w:t>
      </w:r>
      <w:r>
        <w:rPr>
          <w:color w:val="231F20"/>
          <w:w w:val="83"/>
        </w:rPr>
        <w:t>t</w:t>
      </w:r>
      <w:r>
        <w:rPr>
          <w:color w:val="231F20"/>
          <w:spacing w:val="1"/>
          <w:w w:val="81"/>
        </w:rPr>
        <w:t>l</w:t>
      </w:r>
      <w:r>
        <w:rPr>
          <w:color w:val="231F20"/>
          <w:w w:val="100"/>
        </w:rPr>
        <w:t>é</w:t>
      </w:r>
      <w:r>
        <w:rPr>
          <w:color w:val="231F20"/>
          <w:spacing w:val="-3"/>
        </w:rPr>
        <w:t> </w:t>
      </w:r>
      <w:r>
        <w:rPr>
          <w:color w:val="231F20"/>
          <w:spacing w:val="-1"/>
          <w:w w:val="131"/>
        </w:rPr>
        <w:t>S</w:t>
      </w:r>
      <w:r>
        <w:rPr>
          <w:color w:val="231F20"/>
          <w:spacing w:val="4"/>
          <w:w w:val="78"/>
        </w:rPr>
        <w:t>.</w:t>
      </w:r>
      <w:r>
        <w:rPr>
          <w:color w:val="231F20"/>
          <w:spacing w:val="4"/>
          <w:w w:val="120"/>
        </w:rPr>
        <w:t>A</w:t>
      </w:r>
      <w:r>
        <w:rPr>
          <w:color w:val="231F20"/>
          <w:w w:val="78"/>
        </w:rPr>
        <w:t>. </w:t>
      </w:r>
      <w:r>
        <w:rPr>
          <w:color w:val="231F20"/>
        </w:rPr>
        <w:t>or by subsidiaries on Nestlé S.A. shares. The only options issued by Nestlé S.A. are employee options allocated under the Nestlé Management Stock Option Plan (MSOP). Grants under this plan have been discontinued in</w:t>
      </w:r>
      <w:r>
        <w:rPr>
          <w:color w:val="231F20"/>
          <w:spacing w:val="14"/>
        </w:rPr>
        <w:t> </w:t>
      </w:r>
      <w:r>
        <w:rPr>
          <w:color w:val="231F20"/>
          <w:spacing w:val="-4"/>
        </w:rPr>
        <w:t>2013.</w:t>
      </w:r>
    </w:p>
    <w:p>
      <w:pPr>
        <w:spacing w:after="0" w:line="276" w:lineRule="auto"/>
        <w:sectPr>
          <w:type w:val="continuous"/>
          <w:pgSz w:w="11910" w:h="14750"/>
          <w:pgMar w:top="540" w:bottom="280" w:left="460" w:right="460"/>
          <w:cols w:num="2" w:equalWidth="0">
            <w:col w:w="5597" w:space="40"/>
            <w:col w:w="5353"/>
          </w:cols>
        </w:sectPr>
      </w:pPr>
    </w:p>
    <w:p>
      <w:pPr>
        <w:pStyle w:val="Heading2"/>
        <w:ind w:left="106"/>
      </w:pPr>
      <w:bookmarkStart w:name="Board of Directors" w:id="5"/>
      <w:bookmarkEnd w:id="5"/>
      <w:r>
        <w:rPr/>
      </w:r>
      <w:r>
        <w:rPr>
          <w:color w:val="0083CA"/>
        </w:rPr>
        <w:t>Board of Directors</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6"/>
        </w:rPr>
      </w:pPr>
      <w:r>
        <w:rPr/>
        <w:pict>
          <v:line style="position:absolute;mso-position-horizontal-relative:page;mso-position-vertical-relative:paragraph;z-index:-592;mso-wrap-distance-left:0;mso-wrap-distance-right:0" from="28.346399pt,11.681871pt" to="148.818399pt,11.681871pt" stroked="true" strokeweight=".25pt" strokecolor="#231f20">
            <v:stroke dashstyle="solid"/>
            <w10:wrap type="topAndBottom"/>
          </v:line>
        </w:pict>
      </w:r>
      <w:r>
        <w:rPr/>
        <w:pict>
          <v:line style="position:absolute;mso-position-horizontal-relative:page;mso-position-vertical-relative:paragraph;z-index:-568;mso-wrap-distance-left:0;mso-wrap-distance-right:0" from="160.158005pt,11.681871pt" to="280.630005pt,11.681871pt" stroked="true" strokeweight=".25pt" strokecolor="#231f20">
            <v:stroke dashstyle="solid"/>
            <w10:wrap type="topAndBottom"/>
          </v:line>
        </w:pict>
      </w:r>
      <w:r>
        <w:rPr/>
        <w:pict>
          <v:line style="position:absolute;mso-position-horizontal-relative:page;mso-position-vertical-relative:paragraph;z-index:-544;mso-wrap-distance-left:0;mso-wrap-distance-right:0" from="291.967987pt,11.681871pt" to="412.439987pt,11.681871pt" stroked="true" strokeweight=".25pt" strokecolor="#231f20">
            <v:stroke dashstyle="solid"/>
            <w10:wrap type="topAndBottom"/>
          </v:line>
        </w:pict>
      </w:r>
      <w:r>
        <w:rPr/>
        <w:pict>
          <v:line style="position:absolute;mso-position-horizontal-relative:page;mso-position-vertical-relative:paragraph;z-index:-520;mso-wrap-distance-left:0;mso-wrap-distance-right:0" from="423.779999pt,11.681871pt" to="544.251999pt,11.681871pt" stroked="true" strokeweight=".25pt" strokecolor="#231f20">
            <v:stroke dashstyle="solid"/>
            <w10:wrap type="topAndBottom"/>
          </v:line>
        </w:pict>
      </w:r>
    </w:p>
    <w:p>
      <w:pPr>
        <w:pStyle w:val="BodyText"/>
        <w:spacing w:before="5"/>
        <w:rPr>
          <w:sz w:val="14"/>
        </w:rPr>
      </w:pPr>
    </w:p>
    <w:p>
      <w:pPr>
        <w:pStyle w:val="Heading3"/>
        <w:numPr>
          <w:ilvl w:val="0"/>
          <w:numId w:val="2"/>
        </w:numPr>
        <w:tabs>
          <w:tab w:pos="560" w:val="left" w:leader="none"/>
          <w:tab w:pos="561" w:val="left" w:leader="none"/>
        </w:tabs>
        <w:spacing w:line="240" w:lineRule="auto" w:before="109" w:after="0"/>
        <w:ind w:left="560" w:right="0" w:hanging="454"/>
        <w:jc w:val="left"/>
      </w:pPr>
      <w:r>
        <w:rPr>
          <w:color w:val="231F20"/>
          <w:w w:val="110"/>
        </w:rPr>
        <w:t>Board of</w:t>
      </w:r>
      <w:r>
        <w:rPr>
          <w:color w:val="231F20"/>
          <w:spacing w:val="-15"/>
          <w:w w:val="110"/>
        </w:rPr>
        <w:t> </w:t>
      </w:r>
      <w:r>
        <w:rPr>
          <w:color w:val="231F20"/>
          <w:w w:val="110"/>
        </w:rPr>
        <w:t>Directors</w:t>
      </w:r>
    </w:p>
    <w:p>
      <w:pPr>
        <w:pStyle w:val="ListParagraph"/>
        <w:numPr>
          <w:ilvl w:val="1"/>
          <w:numId w:val="2"/>
        </w:numPr>
        <w:tabs>
          <w:tab w:pos="561" w:val="left" w:leader="none"/>
        </w:tabs>
        <w:spacing w:line="240" w:lineRule="auto" w:before="31" w:after="0"/>
        <w:ind w:left="560" w:right="0" w:hanging="454"/>
        <w:jc w:val="left"/>
        <w:rPr>
          <w:b/>
          <w:sz w:val="18"/>
        </w:rPr>
      </w:pPr>
      <w:r>
        <w:rPr>
          <w:b/>
          <w:color w:val="586670"/>
          <w:w w:val="110"/>
          <w:sz w:val="18"/>
        </w:rPr>
        <w:t>Members of the Board of</w:t>
      </w:r>
      <w:r>
        <w:rPr>
          <w:b/>
          <w:color w:val="586670"/>
          <w:spacing w:val="-36"/>
          <w:w w:val="110"/>
          <w:sz w:val="18"/>
        </w:rPr>
        <w:t> </w:t>
      </w:r>
      <w:r>
        <w:rPr>
          <w:b/>
          <w:color w:val="586670"/>
          <w:w w:val="110"/>
          <w:sz w:val="18"/>
        </w:rPr>
        <w:t>Directors</w:t>
      </w:r>
    </w:p>
    <w:p>
      <w:pPr>
        <w:pStyle w:val="BodyText"/>
        <w:rPr>
          <w:b/>
          <w:sz w:val="20"/>
        </w:rPr>
      </w:pPr>
    </w:p>
    <w:p>
      <w:pPr>
        <w:pStyle w:val="BodyText"/>
        <w:spacing w:before="10"/>
        <w:rPr>
          <w:b/>
        </w:rPr>
      </w:pPr>
      <w:r>
        <w:rPr/>
        <w:pict>
          <v:line style="position:absolute;mso-position-horizontal-relative:page;mso-position-vertical-relative:paragraph;z-index:-496;mso-wrap-distance-left:0;mso-wrap-distance-right:0" from="28.346399pt,13.061352pt" to="544.252399pt,13.061352pt" stroked="true" strokeweight=".25pt" strokecolor="#231f20">
            <v:stroke dashstyle="solid"/>
            <w10:wrap type="topAndBottom"/>
          </v:line>
        </w:pict>
      </w:r>
    </w:p>
    <w:p>
      <w:pPr>
        <w:pStyle w:val="BodyText"/>
        <w:spacing w:before="8"/>
        <w:rPr>
          <w:b/>
          <w:sz w:val="21"/>
        </w:rPr>
      </w:pPr>
    </w:p>
    <w:tbl>
      <w:tblPr>
        <w:tblW w:w="0" w:type="auto"/>
        <w:jc w:val="left"/>
        <w:tblInd w:w="1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47"/>
        <w:gridCol w:w="1562"/>
        <w:gridCol w:w="1462"/>
        <w:gridCol w:w="2536"/>
        <w:gridCol w:w="1136"/>
        <w:gridCol w:w="1473"/>
      </w:tblGrid>
      <w:tr>
        <w:trPr>
          <w:trHeight w:val="192" w:hRule="atLeast"/>
        </w:trPr>
        <w:tc>
          <w:tcPr>
            <w:tcW w:w="2147" w:type="dxa"/>
            <w:tcBorders>
              <w:bottom w:val="single" w:sz="2" w:space="0" w:color="231F20"/>
            </w:tcBorders>
          </w:tcPr>
          <w:p>
            <w:pPr>
              <w:pStyle w:val="TableParagraph"/>
              <w:spacing w:before="1"/>
              <w:rPr>
                <w:sz w:val="15"/>
              </w:rPr>
            </w:pPr>
            <w:r>
              <w:rPr>
                <w:color w:val="231F20"/>
                <w:w w:val="105"/>
                <w:sz w:val="15"/>
              </w:rPr>
              <w:t>Name</w:t>
            </w:r>
          </w:p>
        </w:tc>
        <w:tc>
          <w:tcPr>
            <w:tcW w:w="1562" w:type="dxa"/>
            <w:tcBorders>
              <w:bottom w:val="single" w:sz="2" w:space="0" w:color="231F20"/>
            </w:tcBorders>
          </w:tcPr>
          <w:p>
            <w:pPr>
              <w:pStyle w:val="TableParagraph"/>
              <w:spacing w:before="1"/>
              <w:ind w:left="489"/>
              <w:rPr>
                <w:sz w:val="15"/>
              </w:rPr>
            </w:pPr>
            <w:r>
              <w:rPr>
                <w:color w:val="231F20"/>
                <w:sz w:val="15"/>
              </w:rPr>
              <w:t>Year of birth</w:t>
            </w:r>
          </w:p>
        </w:tc>
        <w:tc>
          <w:tcPr>
            <w:tcW w:w="1462" w:type="dxa"/>
            <w:tcBorders>
              <w:bottom w:val="single" w:sz="2" w:space="0" w:color="231F20"/>
            </w:tcBorders>
          </w:tcPr>
          <w:p>
            <w:pPr>
              <w:pStyle w:val="TableParagraph"/>
              <w:spacing w:before="1"/>
              <w:ind w:left="245"/>
              <w:rPr>
                <w:sz w:val="15"/>
              </w:rPr>
            </w:pPr>
            <w:r>
              <w:rPr>
                <w:color w:val="231F20"/>
                <w:sz w:val="15"/>
              </w:rPr>
              <w:t>Nationality</w:t>
            </w:r>
          </w:p>
        </w:tc>
        <w:tc>
          <w:tcPr>
            <w:tcW w:w="2536" w:type="dxa"/>
            <w:tcBorders>
              <w:bottom w:val="single" w:sz="2" w:space="0" w:color="231F20"/>
            </w:tcBorders>
          </w:tcPr>
          <w:p>
            <w:pPr>
              <w:pStyle w:val="TableParagraph"/>
              <w:spacing w:before="1"/>
              <w:ind w:left="101"/>
              <w:rPr>
                <w:sz w:val="10"/>
              </w:rPr>
            </w:pPr>
            <w:r>
              <w:rPr>
                <w:color w:val="231F20"/>
                <w:sz w:val="15"/>
              </w:rPr>
              <w:t>Education/Qualifications </w:t>
            </w:r>
            <w:r>
              <w:rPr>
                <w:color w:val="231F20"/>
                <w:position w:val="4"/>
                <w:sz w:val="10"/>
              </w:rPr>
              <w:t>(a)</w:t>
            </w:r>
          </w:p>
        </w:tc>
        <w:tc>
          <w:tcPr>
            <w:tcW w:w="1136" w:type="dxa"/>
            <w:tcBorders>
              <w:bottom w:val="single" w:sz="2" w:space="0" w:color="231F20"/>
            </w:tcBorders>
          </w:tcPr>
          <w:p>
            <w:pPr>
              <w:pStyle w:val="TableParagraph"/>
              <w:spacing w:before="1"/>
              <w:ind w:left="201"/>
              <w:rPr>
                <w:sz w:val="15"/>
              </w:rPr>
            </w:pPr>
            <w:r>
              <w:rPr>
                <w:color w:val="231F20"/>
                <w:sz w:val="15"/>
              </w:rPr>
              <w:t>Election</w:t>
            </w:r>
          </w:p>
        </w:tc>
        <w:tc>
          <w:tcPr>
            <w:tcW w:w="1473" w:type="dxa"/>
            <w:tcBorders>
              <w:bottom w:val="single" w:sz="2" w:space="0" w:color="231F20"/>
            </w:tcBorders>
          </w:tcPr>
          <w:p>
            <w:pPr>
              <w:pStyle w:val="TableParagraph"/>
              <w:spacing w:before="1"/>
              <w:ind w:left="383"/>
              <w:rPr>
                <w:sz w:val="10"/>
              </w:rPr>
            </w:pPr>
            <w:r>
              <w:rPr>
                <w:color w:val="231F20"/>
                <w:sz w:val="15"/>
              </w:rPr>
              <w:t>Expires </w:t>
            </w:r>
            <w:r>
              <w:rPr>
                <w:color w:val="231F20"/>
                <w:position w:val="4"/>
                <w:sz w:val="10"/>
              </w:rPr>
              <w:t>(b)</w:t>
            </w:r>
          </w:p>
        </w:tc>
      </w:tr>
      <w:tr>
        <w:trPr>
          <w:trHeight w:val="477" w:hRule="atLeast"/>
        </w:trPr>
        <w:tc>
          <w:tcPr>
            <w:tcW w:w="2147" w:type="dxa"/>
            <w:tcBorders>
              <w:top w:val="single" w:sz="2" w:space="0" w:color="231F20"/>
              <w:bottom w:val="single" w:sz="2" w:space="0" w:color="8F999F"/>
            </w:tcBorders>
          </w:tcPr>
          <w:p>
            <w:pPr>
              <w:pStyle w:val="TableParagraph"/>
              <w:spacing w:line="247" w:lineRule="auto"/>
              <w:ind w:right="480"/>
              <w:rPr>
                <w:sz w:val="15"/>
              </w:rPr>
            </w:pPr>
            <w:r>
              <w:rPr>
                <w:color w:val="231F20"/>
                <w:sz w:val="15"/>
              </w:rPr>
              <w:t>Peter Brabeck-Letmathe Chairman</w:t>
            </w:r>
          </w:p>
        </w:tc>
        <w:tc>
          <w:tcPr>
            <w:tcW w:w="1562" w:type="dxa"/>
            <w:tcBorders>
              <w:top w:val="single" w:sz="2" w:space="0" w:color="231F20"/>
              <w:bottom w:val="single" w:sz="2" w:space="0" w:color="8F999F"/>
            </w:tcBorders>
          </w:tcPr>
          <w:p>
            <w:pPr>
              <w:pStyle w:val="TableParagraph"/>
              <w:spacing w:line="240" w:lineRule="auto"/>
              <w:ind w:left="489"/>
              <w:rPr>
                <w:sz w:val="15"/>
              </w:rPr>
            </w:pPr>
            <w:r>
              <w:rPr>
                <w:color w:val="231F20"/>
                <w:w w:val="105"/>
                <w:sz w:val="15"/>
              </w:rPr>
              <w:t>1944</w:t>
            </w:r>
          </w:p>
        </w:tc>
        <w:tc>
          <w:tcPr>
            <w:tcW w:w="1462" w:type="dxa"/>
            <w:tcBorders>
              <w:top w:val="single" w:sz="2" w:space="0" w:color="231F20"/>
              <w:bottom w:val="single" w:sz="2" w:space="0" w:color="8F999F"/>
            </w:tcBorders>
          </w:tcPr>
          <w:p>
            <w:pPr>
              <w:pStyle w:val="TableParagraph"/>
              <w:spacing w:line="240" w:lineRule="auto"/>
              <w:ind w:left="245"/>
              <w:rPr>
                <w:sz w:val="15"/>
              </w:rPr>
            </w:pPr>
            <w:r>
              <w:rPr>
                <w:color w:val="231F20"/>
                <w:sz w:val="15"/>
              </w:rPr>
              <w:t>Austrian</w:t>
            </w:r>
          </w:p>
        </w:tc>
        <w:tc>
          <w:tcPr>
            <w:tcW w:w="2536" w:type="dxa"/>
            <w:tcBorders>
              <w:top w:val="single" w:sz="2" w:space="0" w:color="231F20"/>
              <w:bottom w:val="single" w:sz="2" w:space="0" w:color="8F999F"/>
            </w:tcBorders>
          </w:tcPr>
          <w:p>
            <w:pPr>
              <w:pStyle w:val="TableParagraph"/>
              <w:spacing w:line="240" w:lineRule="auto"/>
              <w:ind w:left="101"/>
              <w:rPr>
                <w:sz w:val="15"/>
              </w:rPr>
            </w:pPr>
            <w:r>
              <w:rPr>
                <w:color w:val="231F20"/>
                <w:w w:val="105"/>
                <w:sz w:val="15"/>
              </w:rPr>
              <w:t>Economics</w:t>
            </w:r>
          </w:p>
        </w:tc>
        <w:tc>
          <w:tcPr>
            <w:tcW w:w="1136" w:type="dxa"/>
            <w:tcBorders>
              <w:top w:val="single" w:sz="2" w:space="0" w:color="231F20"/>
              <w:bottom w:val="single" w:sz="2" w:space="0" w:color="8F999F"/>
            </w:tcBorders>
          </w:tcPr>
          <w:p>
            <w:pPr>
              <w:pStyle w:val="TableParagraph"/>
              <w:spacing w:line="240" w:lineRule="auto"/>
              <w:ind w:left="201"/>
              <w:rPr>
                <w:sz w:val="15"/>
              </w:rPr>
            </w:pPr>
            <w:r>
              <w:rPr>
                <w:color w:val="231F20"/>
                <w:w w:val="105"/>
                <w:sz w:val="15"/>
              </w:rPr>
              <w:t>1997</w:t>
            </w:r>
          </w:p>
        </w:tc>
        <w:tc>
          <w:tcPr>
            <w:tcW w:w="1473" w:type="dxa"/>
            <w:tcBorders>
              <w:top w:val="single" w:sz="2" w:space="0" w:color="231F20"/>
              <w:bottom w:val="single" w:sz="2" w:space="0" w:color="8F999F"/>
            </w:tcBorders>
          </w:tcPr>
          <w:p>
            <w:pPr>
              <w:pStyle w:val="TableParagraph"/>
              <w:spacing w:line="240" w:lineRule="auto"/>
              <w:ind w:left="383"/>
              <w:rPr>
                <w:sz w:val="15"/>
              </w:rPr>
            </w:pPr>
            <w:r>
              <w:rPr>
                <w:color w:val="231F20"/>
                <w:w w:val="105"/>
                <w:sz w:val="15"/>
              </w:rPr>
              <w:t>2016</w:t>
            </w:r>
          </w:p>
        </w:tc>
      </w:tr>
      <w:tr>
        <w:trPr>
          <w:trHeight w:val="475" w:hRule="atLeast"/>
        </w:trPr>
        <w:tc>
          <w:tcPr>
            <w:tcW w:w="2147" w:type="dxa"/>
            <w:tcBorders>
              <w:top w:val="single" w:sz="2" w:space="0" w:color="8F999F"/>
              <w:bottom w:val="single" w:sz="2" w:space="0" w:color="8F999F"/>
            </w:tcBorders>
          </w:tcPr>
          <w:p>
            <w:pPr>
              <w:pStyle w:val="TableParagraph"/>
              <w:spacing w:line="247" w:lineRule="auto" w:before="40"/>
              <w:ind w:right="1350"/>
              <w:rPr>
                <w:sz w:val="15"/>
              </w:rPr>
            </w:pPr>
            <w:r>
              <w:rPr>
                <w:color w:val="231F20"/>
                <w:sz w:val="15"/>
              </w:rPr>
              <w:t>Paul Bulcke CEO</w:t>
            </w:r>
          </w:p>
        </w:tc>
        <w:tc>
          <w:tcPr>
            <w:tcW w:w="1562" w:type="dxa"/>
            <w:tcBorders>
              <w:top w:val="single" w:sz="2" w:space="0" w:color="8F999F"/>
              <w:bottom w:val="single" w:sz="2" w:space="0" w:color="8F999F"/>
            </w:tcBorders>
          </w:tcPr>
          <w:p>
            <w:pPr>
              <w:pStyle w:val="TableParagraph"/>
              <w:spacing w:line="240" w:lineRule="auto" w:before="40"/>
              <w:ind w:left="489"/>
              <w:rPr>
                <w:sz w:val="15"/>
              </w:rPr>
            </w:pPr>
            <w:r>
              <w:rPr>
                <w:color w:val="231F20"/>
                <w:w w:val="105"/>
                <w:sz w:val="15"/>
              </w:rPr>
              <w:t>1954</w:t>
            </w:r>
          </w:p>
        </w:tc>
        <w:tc>
          <w:tcPr>
            <w:tcW w:w="1462" w:type="dxa"/>
            <w:tcBorders>
              <w:top w:val="single" w:sz="2" w:space="0" w:color="8F999F"/>
              <w:bottom w:val="single" w:sz="2" w:space="0" w:color="8F999F"/>
            </w:tcBorders>
          </w:tcPr>
          <w:p>
            <w:pPr>
              <w:pStyle w:val="TableParagraph"/>
              <w:spacing w:line="240" w:lineRule="auto" w:before="40"/>
              <w:ind w:left="245"/>
              <w:rPr>
                <w:sz w:val="15"/>
              </w:rPr>
            </w:pPr>
            <w:r>
              <w:rPr>
                <w:color w:val="231F20"/>
                <w:sz w:val="15"/>
              </w:rPr>
              <w:t>Belgian</w:t>
            </w:r>
          </w:p>
        </w:tc>
        <w:tc>
          <w:tcPr>
            <w:tcW w:w="2536" w:type="dxa"/>
            <w:tcBorders>
              <w:top w:val="single" w:sz="2" w:space="0" w:color="8F999F"/>
              <w:bottom w:val="single" w:sz="2" w:space="0" w:color="8F999F"/>
            </w:tcBorders>
          </w:tcPr>
          <w:p>
            <w:pPr>
              <w:pStyle w:val="TableParagraph"/>
              <w:spacing w:line="247" w:lineRule="auto" w:before="40"/>
              <w:ind w:left="101"/>
              <w:rPr>
                <w:sz w:val="15"/>
              </w:rPr>
            </w:pPr>
            <w:r>
              <w:rPr>
                <w:color w:val="231F20"/>
                <w:w w:val="105"/>
                <w:sz w:val="15"/>
              </w:rPr>
              <w:t>Economics and Business Administration</w:t>
            </w:r>
          </w:p>
        </w:tc>
        <w:tc>
          <w:tcPr>
            <w:tcW w:w="1136" w:type="dxa"/>
            <w:tcBorders>
              <w:top w:val="single" w:sz="2" w:space="0" w:color="8F999F"/>
              <w:bottom w:val="single" w:sz="2" w:space="0" w:color="8F999F"/>
            </w:tcBorders>
          </w:tcPr>
          <w:p>
            <w:pPr>
              <w:pStyle w:val="TableParagraph"/>
              <w:spacing w:line="240" w:lineRule="auto" w:before="40"/>
              <w:ind w:left="201"/>
              <w:rPr>
                <w:sz w:val="15"/>
              </w:rPr>
            </w:pPr>
            <w:r>
              <w:rPr>
                <w:color w:val="231F20"/>
                <w:w w:val="105"/>
                <w:sz w:val="15"/>
              </w:rPr>
              <w:t>2008</w:t>
            </w:r>
          </w:p>
        </w:tc>
        <w:tc>
          <w:tcPr>
            <w:tcW w:w="1473" w:type="dxa"/>
            <w:tcBorders>
              <w:top w:val="single" w:sz="2" w:space="0" w:color="8F999F"/>
              <w:bottom w:val="single" w:sz="2" w:space="0" w:color="8F999F"/>
            </w:tcBorders>
          </w:tcPr>
          <w:p>
            <w:pPr>
              <w:pStyle w:val="TableParagraph"/>
              <w:spacing w:line="240" w:lineRule="auto" w:before="40"/>
              <w:ind w:left="383"/>
              <w:rPr>
                <w:sz w:val="15"/>
              </w:rPr>
            </w:pPr>
            <w:r>
              <w:rPr>
                <w:color w:val="231F20"/>
                <w:w w:val="105"/>
                <w:sz w:val="15"/>
              </w:rPr>
              <w:t>2014</w:t>
            </w:r>
          </w:p>
        </w:tc>
      </w:tr>
      <w:tr>
        <w:trPr>
          <w:trHeight w:val="475" w:hRule="atLeast"/>
        </w:trPr>
        <w:tc>
          <w:tcPr>
            <w:tcW w:w="2147" w:type="dxa"/>
            <w:tcBorders>
              <w:top w:val="single" w:sz="2" w:space="0" w:color="8F999F"/>
              <w:bottom w:val="single" w:sz="2" w:space="0" w:color="8F999F"/>
            </w:tcBorders>
          </w:tcPr>
          <w:p>
            <w:pPr>
              <w:pStyle w:val="TableParagraph"/>
              <w:spacing w:line="247" w:lineRule="auto" w:before="40"/>
              <w:ind w:right="691"/>
              <w:rPr>
                <w:sz w:val="15"/>
              </w:rPr>
            </w:pPr>
            <w:r>
              <w:rPr>
                <w:color w:val="231F20"/>
                <w:sz w:val="15"/>
              </w:rPr>
              <w:t>Andreas Koopmann 1st Vice Chairman</w:t>
            </w:r>
          </w:p>
        </w:tc>
        <w:tc>
          <w:tcPr>
            <w:tcW w:w="1562" w:type="dxa"/>
            <w:tcBorders>
              <w:top w:val="single" w:sz="2" w:space="0" w:color="8F999F"/>
              <w:bottom w:val="single" w:sz="2" w:space="0" w:color="8F999F"/>
            </w:tcBorders>
          </w:tcPr>
          <w:p>
            <w:pPr>
              <w:pStyle w:val="TableParagraph"/>
              <w:spacing w:line="240" w:lineRule="auto" w:before="40"/>
              <w:ind w:left="489"/>
              <w:rPr>
                <w:sz w:val="15"/>
              </w:rPr>
            </w:pPr>
            <w:r>
              <w:rPr>
                <w:color w:val="231F20"/>
                <w:w w:val="105"/>
                <w:sz w:val="15"/>
              </w:rPr>
              <w:t>1951</w:t>
            </w:r>
          </w:p>
        </w:tc>
        <w:tc>
          <w:tcPr>
            <w:tcW w:w="1462" w:type="dxa"/>
            <w:tcBorders>
              <w:top w:val="single" w:sz="2" w:space="0" w:color="8F999F"/>
              <w:bottom w:val="single" w:sz="2" w:space="0" w:color="8F999F"/>
            </w:tcBorders>
          </w:tcPr>
          <w:p>
            <w:pPr>
              <w:pStyle w:val="TableParagraph"/>
              <w:spacing w:line="240" w:lineRule="auto" w:before="40"/>
              <w:ind w:left="245"/>
              <w:rPr>
                <w:sz w:val="15"/>
              </w:rPr>
            </w:pPr>
            <w:r>
              <w:rPr>
                <w:color w:val="231F20"/>
                <w:w w:val="110"/>
                <w:sz w:val="15"/>
              </w:rPr>
              <w:t>Swiss</w:t>
            </w:r>
          </w:p>
        </w:tc>
        <w:tc>
          <w:tcPr>
            <w:tcW w:w="2536" w:type="dxa"/>
            <w:tcBorders>
              <w:top w:val="single" w:sz="2" w:space="0" w:color="8F999F"/>
              <w:bottom w:val="single" w:sz="2" w:space="0" w:color="8F999F"/>
            </w:tcBorders>
          </w:tcPr>
          <w:p>
            <w:pPr>
              <w:pStyle w:val="TableParagraph"/>
              <w:spacing w:line="247" w:lineRule="auto" w:before="40"/>
              <w:ind w:left="101" w:right="480"/>
              <w:rPr>
                <w:sz w:val="15"/>
              </w:rPr>
            </w:pPr>
            <w:r>
              <w:rPr>
                <w:color w:val="231F20"/>
                <w:sz w:val="15"/>
              </w:rPr>
              <w:t>Mechanical    Engineering and Business</w:t>
            </w:r>
            <w:r>
              <w:rPr>
                <w:color w:val="231F20"/>
                <w:spacing w:val="8"/>
                <w:sz w:val="15"/>
              </w:rPr>
              <w:t> </w:t>
            </w:r>
            <w:r>
              <w:rPr>
                <w:color w:val="231F20"/>
                <w:sz w:val="15"/>
              </w:rPr>
              <w:t>Administration</w:t>
            </w:r>
          </w:p>
        </w:tc>
        <w:tc>
          <w:tcPr>
            <w:tcW w:w="1136" w:type="dxa"/>
            <w:tcBorders>
              <w:top w:val="single" w:sz="2" w:space="0" w:color="8F999F"/>
              <w:bottom w:val="single" w:sz="2" w:space="0" w:color="8F999F"/>
            </w:tcBorders>
          </w:tcPr>
          <w:p>
            <w:pPr>
              <w:pStyle w:val="TableParagraph"/>
              <w:spacing w:line="240" w:lineRule="auto" w:before="40"/>
              <w:ind w:left="201"/>
              <w:rPr>
                <w:sz w:val="15"/>
              </w:rPr>
            </w:pPr>
            <w:r>
              <w:rPr>
                <w:color w:val="231F20"/>
                <w:w w:val="105"/>
                <w:sz w:val="15"/>
              </w:rPr>
              <w:t>2003</w:t>
            </w:r>
          </w:p>
        </w:tc>
        <w:tc>
          <w:tcPr>
            <w:tcW w:w="1473" w:type="dxa"/>
            <w:tcBorders>
              <w:top w:val="single" w:sz="2" w:space="0" w:color="8F999F"/>
              <w:bottom w:val="single" w:sz="2" w:space="0" w:color="8F999F"/>
            </w:tcBorders>
          </w:tcPr>
          <w:p>
            <w:pPr>
              <w:pStyle w:val="TableParagraph"/>
              <w:spacing w:line="240" w:lineRule="auto" w:before="40"/>
              <w:ind w:left="383"/>
              <w:rPr>
                <w:sz w:val="15"/>
              </w:rPr>
            </w:pPr>
            <w:r>
              <w:rPr>
                <w:color w:val="231F20"/>
                <w:w w:val="105"/>
                <w:sz w:val="15"/>
              </w:rPr>
              <w:t>2014</w:t>
            </w:r>
          </w:p>
        </w:tc>
      </w:tr>
      <w:tr>
        <w:trPr>
          <w:trHeight w:val="475" w:hRule="atLeast"/>
        </w:trPr>
        <w:tc>
          <w:tcPr>
            <w:tcW w:w="2147" w:type="dxa"/>
            <w:tcBorders>
              <w:top w:val="single" w:sz="2" w:space="0" w:color="8F999F"/>
              <w:bottom w:val="single" w:sz="2" w:space="0" w:color="8F999F"/>
            </w:tcBorders>
          </w:tcPr>
          <w:p>
            <w:pPr>
              <w:pStyle w:val="TableParagraph"/>
              <w:spacing w:line="240" w:lineRule="auto" w:before="40"/>
              <w:rPr>
                <w:sz w:val="15"/>
              </w:rPr>
            </w:pPr>
            <w:r>
              <w:rPr>
                <w:color w:val="231F20"/>
                <w:sz w:val="15"/>
              </w:rPr>
              <w:t>Rolf Hänggi</w:t>
            </w:r>
          </w:p>
          <w:p>
            <w:pPr>
              <w:pStyle w:val="TableParagraph"/>
              <w:spacing w:line="240" w:lineRule="auto" w:before="6"/>
              <w:rPr>
                <w:sz w:val="15"/>
              </w:rPr>
            </w:pPr>
            <w:r>
              <w:rPr>
                <w:color w:val="231F20"/>
                <w:sz w:val="15"/>
              </w:rPr>
              <w:t>2nd Vice Chairman</w:t>
            </w:r>
          </w:p>
        </w:tc>
        <w:tc>
          <w:tcPr>
            <w:tcW w:w="1562" w:type="dxa"/>
            <w:tcBorders>
              <w:top w:val="single" w:sz="2" w:space="0" w:color="8F999F"/>
              <w:bottom w:val="single" w:sz="2" w:space="0" w:color="8F999F"/>
            </w:tcBorders>
          </w:tcPr>
          <w:p>
            <w:pPr>
              <w:pStyle w:val="TableParagraph"/>
              <w:spacing w:line="240" w:lineRule="auto" w:before="40"/>
              <w:ind w:left="489"/>
              <w:rPr>
                <w:sz w:val="15"/>
              </w:rPr>
            </w:pPr>
            <w:r>
              <w:rPr>
                <w:color w:val="231F20"/>
                <w:w w:val="105"/>
                <w:sz w:val="15"/>
              </w:rPr>
              <w:t>1943</w:t>
            </w:r>
          </w:p>
        </w:tc>
        <w:tc>
          <w:tcPr>
            <w:tcW w:w="1462" w:type="dxa"/>
            <w:tcBorders>
              <w:top w:val="single" w:sz="2" w:space="0" w:color="8F999F"/>
              <w:bottom w:val="single" w:sz="2" w:space="0" w:color="8F999F"/>
            </w:tcBorders>
          </w:tcPr>
          <w:p>
            <w:pPr>
              <w:pStyle w:val="TableParagraph"/>
              <w:spacing w:line="240" w:lineRule="auto" w:before="40"/>
              <w:ind w:left="245"/>
              <w:rPr>
                <w:sz w:val="15"/>
              </w:rPr>
            </w:pPr>
            <w:r>
              <w:rPr>
                <w:color w:val="231F20"/>
                <w:w w:val="110"/>
                <w:sz w:val="15"/>
              </w:rPr>
              <w:t>Swiss</w:t>
            </w:r>
          </w:p>
        </w:tc>
        <w:tc>
          <w:tcPr>
            <w:tcW w:w="2536" w:type="dxa"/>
            <w:tcBorders>
              <w:top w:val="single" w:sz="2" w:space="0" w:color="8F999F"/>
              <w:bottom w:val="single" w:sz="2" w:space="0" w:color="8F999F"/>
            </w:tcBorders>
          </w:tcPr>
          <w:p>
            <w:pPr>
              <w:pStyle w:val="TableParagraph"/>
              <w:spacing w:line="240" w:lineRule="auto" w:before="40"/>
              <w:ind w:left="101"/>
              <w:rPr>
                <w:sz w:val="15"/>
              </w:rPr>
            </w:pPr>
            <w:r>
              <w:rPr>
                <w:color w:val="231F20"/>
                <w:w w:val="105"/>
                <w:sz w:val="15"/>
              </w:rPr>
              <w:t>Law and Finance</w:t>
            </w:r>
          </w:p>
        </w:tc>
        <w:tc>
          <w:tcPr>
            <w:tcW w:w="1136" w:type="dxa"/>
            <w:tcBorders>
              <w:top w:val="single" w:sz="2" w:space="0" w:color="8F999F"/>
              <w:bottom w:val="single" w:sz="2" w:space="0" w:color="8F999F"/>
            </w:tcBorders>
          </w:tcPr>
          <w:p>
            <w:pPr>
              <w:pStyle w:val="TableParagraph"/>
              <w:spacing w:line="240" w:lineRule="auto" w:before="40"/>
              <w:ind w:left="201"/>
              <w:rPr>
                <w:sz w:val="15"/>
              </w:rPr>
            </w:pPr>
            <w:r>
              <w:rPr>
                <w:color w:val="231F20"/>
                <w:w w:val="105"/>
                <w:sz w:val="15"/>
              </w:rPr>
              <w:t>2004</w:t>
            </w:r>
          </w:p>
        </w:tc>
        <w:tc>
          <w:tcPr>
            <w:tcW w:w="1473" w:type="dxa"/>
            <w:tcBorders>
              <w:top w:val="single" w:sz="2" w:space="0" w:color="8F999F"/>
              <w:bottom w:val="single" w:sz="2" w:space="0" w:color="8F999F"/>
            </w:tcBorders>
          </w:tcPr>
          <w:p>
            <w:pPr>
              <w:pStyle w:val="TableParagraph"/>
              <w:spacing w:line="240" w:lineRule="auto" w:before="40"/>
              <w:ind w:left="383"/>
              <w:rPr>
                <w:sz w:val="15"/>
              </w:rPr>
            </w:pPr>
            <w:r>
              <w:rPr>
                <w:color w:val="231F20"/>
                <w:w w:val="105"/>
                <w:sz w:val="15"/>
              </w:rPr>
              <w:t>2014</w:t>
            </w:r>
          </w:p>
        </w:tc>
      </w:tr>
      <w:tr>
        <w:trPr>
          <w:trHeight w:val="232" w:hRule="atLeast"/>
        </w:trPr>
        <w:tc>
          <w:tcPr>
            <w:tcW w:w="2147" w:type="dxa"/>
            <w:tcBorders>
              <w:top w:val="single" w:sz="2" w:space="0" w:color="8F999F"/>
              <w:bottom w:val="single" w:sz="2" w:space="0" w:color="8F999F"/>
            </w:tcBorders>
          </w:tcPr>
          <w:p>
            <w:pPr>
              <w:pStyle w:val="TableParagraph"/>
              <w:spacing w:before="40"/>
              <w:rPr>
                <w:sz w:val="15"/>
              </w:rPr>
            </w:pPr>
            <w:r>
              <w:rPr>
                <w:color w:val="231F20"/>
                <w:w w:val="105"/>
                <w:sz w:val="15"/>
              </w:rPr>
              <w:t>Beat Hess</w:t>
            </w:r>
          </w:p>
        </w:tc>
        <w:tc>
          <w:tcPr>
            <w:tcW w:w="1562" w:type="dxa"/>
            <w:tcBorders>
              <w:top w:val="single" w:sz="2" w:space="0" w:color="8F999F"/>
              <w:bottom w:val="single" w:sz="2" w:space="0" w:color="8F999F"/>
            </w:tcBorders>
          </w:tcPr>
          <w:p>
            <w:pPr>
              <w:pStyle w:val="TableParagraph"/>
              <w:spacing w:before="40"/>
              <w:ind w:left="489"/>
              <w:rPr>
                <w:sz w:val="15"/>
              </w:rPr>
            </w:pPr>
            <w:r>
              <w:rPr>
                <w:color w:val="231F20"/>
                <w:w w:val="105"/>
                <w:sz w:val="15"/>
              </w:rPr>
              <w:t>1949</w:t>
            </w:r>
          </w:p>
        </w:tc>
        <w:tc>
          <w:tcPr>
            <w:tcW w:w="1462" w:type="dxa"/>
            <w:tcBorders>
              <w:top w:val="single" w:sz="2" w:space="0" w:color="8F999F"/>
              <w:bottom w:val="single" w:sz="2" w:space="0" w:color="8F999F"/>
            </w:tcBorders>
          </w:tcPr>
          <w:p>
            <w:pPr>
              <w:pStyle w:val="TableParagraph"/>
              <w:spacing w:before="40"/>
              <w:ind w:left="245"/>
              <w:rPr>
                <w:sz w:val="15"/>
              </w:rPr>
            </w:pPr>
            <w:r>
              <w:rPr>
                <w:color w:val="231F20"/>
                <w:w w:val="110"/>
                <w:sz w:val="15"/>
              </w:rPr>
              <w:t>Swiss</w:t>
            </w:r>
          </w:p>
        </w:tc>
        <w:tc>
          <w:tcPr>
            <w:tcW w:w="2536" w:type="dxa"/>
            <w:tcBorders>
              <w:top w:val="single" w:sz="2" w:space="0" w:color="8F999F"/>
              <w:bottom w:val="single" w:sz="2" w:space="0" w:color="8F999F"/>
            </w:tcBorders>
          </w:tcPr>
          <w:p>
            <w:pPr>
              <w:pStyle w:val="TableParagraph"/>
              <w:spacing w:before="40"/>
              <w:ind w:left="101"/>
              <w:rPr>
                <w:sz w:val="15"/>
              </w:rPr>
            </w:pPr>
            <w:r>
              <w:rPr>
                <w:color w:val="231F20"/>
                <w:w w:val="105"/>
                <w:sz w:val="15"/>
              </w:rPr>
              <w:t>Law</w:t>
            </w:r>
          </w:p>
        </w:tc>
        <w:tc>
          <w:tcPr>
            <w:tcW w:w="1136" w:type="dxa"/>
            <w:tcBorders>
              <w:top w:val="single" w:sz="2" w:space="0" w:color="8F999F"/>
              <w:bottom w:val="single" w:sz="2" w:space="0" w:color="8F999F"/>
            </w:tcBorders>
          </w:tcPr>
          <w:p>
            <w:pPr>
              <w:pStyle w:val="TableParagraph"/>
              <w:spacing w:before="40"/>
              <w:ind w:left="201"/>
              <w:rPr>
                <w:sz w:val="15"/>
              </w:rPr>
            </w:pPr>
            <w:r>
              <w:rPr>
                <w:color w:val="231F20"/>
                <w:w w:val="105"/>
                <w:sz w:val="15"/>
              </w:rPr>
              <w:t>2008</w:t>
            </w:r>
          </w:p>
        </w:tc>
        <w:tc>
          <w:tcPr>
            <w:tcW w:w="1473" w:type="dxa"/>
            <w:tcBorders>
              <w:top w:val="single" w:sz="2" w:space="0" w:color="8F999F"/>
              <w:bottom w:val="single" w:sz="2" w:space="0" w:color="8F999F"/>
            </w:tcBorders>
          </w:tcPr>
          <w:p>
            <w:pPr>
              <w:pStyle w:val="TableParagraph"/>
              <w:spacing w:before="40"/>
              <w:ind w:left="383"/>
              <w:rPr>
                <w:sz w:val="15"/>
              </w:rPr>
            </w:pPr>
            <w:r>
              <w:rPr>
                <w:color w:val="231F20"/>
                <w:w w:val="105"/>
                <w:sz w:val="15"/>
              </w:rPr>
              <w:t>2014</w:t>
            </w:r>
          </w:p>
        </w:tc>
      </w:tr>
      <w:tr>
        <w:trPr>
          <w:trHeight w:val="235" w:hRule="atLeast"/>
        </w:trPr>
        <w:tc>
          <w:tcPr>
            <w:tcW w:w="2147" w:type="dxa"/>
            <w:tcBorders>
              <w:top w:val="single" w:sz="2" w:space="0" w:color="8F999F"/>
              <w:bottom w:val="single" w:sz="2" w:space="0" w:color="8F999F"/>
            </w:tcBorders>
          </w:tcPr>
          <w:p>
            <w:pPr>
              <w:pStyle w:val="TableParagraph"/>
              <w:rPr>
                <w:sz w:val="15"/>
              </w:rPr>
            </w:pPr>
            <w:r>
              <w:rPr>
                <w:color w:val="231F20"/>
                <w:sz w:val="15"/>
              </w:rPr>
              <w:t>Daniel Borel</w:t>
            </w:r>
          </w:p>
        </w:tc>
        <w:tc>
          <w:tcPr>
            <w:tcW w:w="1562" w:type="dxa"/>
            <w:tcBorders>
              <w:top w:val="single" w:sz="2" w:space="0" w:color="8F999F"/>
              <w:bottom w:val="single" w:sz="2" w:space="0" w:color="8F999F"/>
            </w:tcBorders>
          </w:tcPr>
          <w:p>
            <w:pPr>
              <w:pStyle w:val="TableParagraph"/>
              <w:ind w:left="489"/>
              <w:rPr>
                <w:sz w:val="15"/>
              </w:rPr>
            </w:pPr>
            <w:r>
              <w:rPr>
                <w:color w:val="231F20"/>
                <w:w w:val="105"/>
                <w:sz w:val="15"/>
              </w:rPr>
              <w:t>1950</w:t>
            </w:r>
          </w:p>
        </w:tc>
        <w:tc>
          <w:tcPr>
            <w:tcW w:w="1462" w:type="dxa"/>
            <w:tcBorders>
              <w:top w:val="single" w:sz="2" w:space="0" w:color="8F999F"/>
              <w:bottom w:val="single" w:sz="2" w:space="0" w:color="8F999F"/>
            </w:tcBorders>
          </w:tcPr>
          <w:p>
            <w:pPr>
              <w:pStyle w:val="TableParagraph"/>
              <w:ind w:left="245"/>
              <w:rPr>
                <w:sz w:val="15"/>
              </w:rPr>
            </w:pPr>
            <w:r>
              <w:rPr>
                <w:color w:val="231F20"/>
                <w:w w:val="110"/>
                <w:sz w:val="15"/>
              </w:rPr>
              <w:t>Swiss</w:t>
            </w:r>
          </w:p>
        </w:tc>
        <w:tc>
          <w:tcPr>
            <w:tcW w:w="2536" w:type="dxa"/>
            <w:tcBorders>
              <w:top w:val="single" w:sz="2" w:space="0" w:color="8F999F"/>
              <w:bottom w:val="single" w:sz="2" w:space="0" w:color="8F999F"/>
            </w:tcBorders>
          </w:tcPr>
          <w:p>
            <w:pPr>
              <w:pStyle w:val="TableParagraph"/>
              <w:ind w:left="101"/>
              <w:rPr>
                <w:sz w:val="15"/>
              </w:rPr>
            </w:pPr>
            <w:r>
              <w:rPr>
                <w:color w:val="231F20"/>
                <w:w w:val="105"/>
                <w:sz w:val="15"/>
              </w:rPr>
              <w:t>Physics and Computer Science</w:t>
            </w:r>
          </w:p>
        </w:tc>
        <w:tc>
          <w:tcPr>
            <w:tcW w:w="1136" w:type="dxa"/>
            <w:tcBorders>
              <w:top w:val="single" w:sz="2" w:space="0" w:color="8F999F"/>
              <w:bottom w:val="single" w:sz="2" w:space="0" w:color="8F999F"/>
            </w:tcBorders>
          </w:tcPr>
          <w:p>
            <w:pPr>
              <w:pStyle w:val="TableParagraph"/>
              <w:ind w:left="201"/>
              <w:rPr>
                <w:sz w:val="15"/>
              </w:rPr>
            </w:pPr>
            <w:r>
              <w:rPr>
                <w:color w:val="231F20"/>
                <w:w w:val="105"/>
                <w:sz w:val="15"/>
              </w:rPr>
              <w:t>2004</w:t>
            </w:r>
          </w:p>
        </w:tc>
        <w:tc>
          <w:tcPr>
            <w:tcW w:w="1473" w:type="dxa"/>
            <w:tcBorders>
              <w:top w:val="single" w:sz="2" w:space="0" w:color="8F999F"/>
              <w:bottom w:val="single" w:sz="2" w:space="0" w:color="8F999F"/>
            </w:tcBorders>
          </w:tcPr>
          <w:p>
            <w:pPr>
              <w:pStyle w:val="TableParagraph"/>
              <w:ind w:left="383"/>
              <w:rPr>
                <w:sz w:val="15"/>
              </w:rPr>
            </w:pPr>
            <w:r>
              <w:rPr>
                <w:color w:val="231F20"/>
                <w:w w:val="105"/>
                <w:sz w:val="15"/>
              </w:rPr>
              <w:t>2015</w:t>
            </w:r>
          </w:p>
        </w:tc>
      </w:tr>
      <w:tr>
        <w:trPr>
          <w:trHeight w:val="235" w:hRule="atLeast"/>
        </w:trPr>
        <w:tc>
          <w:tcPr>
            <w:tcW w:w="2147" w:type="dxa"/>
            <w:tcBorders>
              <w:top w:val="single" w:sz="2" w:space="0" w:color="8F999F"/>
              <w:bottom w:val="single" w:sz="2" w:space="0" w:color="8F999F"/>
            </w:tcBorders>
          </w:tcPr>
          <w:p>
            <w:pPr>
              <w:pStyle w:val="TableParagraph"/>
              <w:rPr>
                <w:sz w:val="15"/>
              </w:rPr>
            </w:pPr>
            <w:r>
              <w:rPr>
                <w:color w:val="231F20"/>
                <w:sz w:val="15"/>
              </w:rPr>
              <w:t>Jean-Pierre Meyers</w:t>
            </w:r>
          </w:p>
        </w:tc>
        <w:tc>
          <w:tcPr>
            <w:tcW w:w="1562" w:type="dxa"/>
            <w:tcBorders>
              <w:top w:val="single" w:sz="2" w:space="0" w:color="8F999F"/>
              <w:bottom w:val="single" w:sz="2" w:space="0" w:color="8F999F"/>
            </w:tcBorders>
          </w:tcPr>
          <w:p>
            <w:pPr>
              <w:pStyle w:val="TableParagraph"/>
              <w:ind w:left="489"/>
              <w:rPr>
                <w:sz w:val="15"/>
              </w:rPr>
            </w:pPr>
            <w:r>
              <w:rPr>
                <w:color w:val="231F20"/>
                <w:w w:val="105"/>
                <w:sz w:val="15"/>
              </w:rPr>
              <w:t>1948</w:t>
            </w:r>
          </w:p>
        </w:tc>
        <w:tc>
          <w:tcPr>
            <w:tcW w:w="1462" w:type="dxa"/>
            <w:tcBorders>
              <w:top w:val="single" w:sz="2" w:space="0" w:color="8F999F"/>
              <w:bottom w:val="single" w:sz="2" w:space="0" w:color="8F999F"/>
            </w:tcBorders>
          </w:tcPr>
          <w:p>
            <w:pPr>
              <w:pStyle w:val="TableParagraph"/>
              <w:ind w:left="245"/>
              <w:rPr>
                <w:sz w:val="15"/>
              </w:rPr>
            </w:pPr>
            <w:r>
              <w:rPr>
                <w:color w:val="231F20"/>
                <w:sz w:val="15"/>
              </w:rPr>
              <w:t>French</w:t>
            </w:r>
          </w:p>
        </w:tc>
        <w:tc>
          <w:tcPr>
            <w:tcW w:w="2536" w:type="dxa"/>
            <w:tcBorders>
              <w:top w:val="single" w:sz="2" w:space="0" w:color="8F999F"/>
              <w:bottom w:val="single" w:sz="2" w:space="0" w:color="8F999F"/>
            </w:tcBorders>
          </w:tcPr>
          <w:p>
            <w:pPr>
              <w:pStyle w:val="TableParagraph"/>
              <w:ind w:left="101"/>
              <w:rPr>
                <w:sz w:val="15"/>
              </w:rPr>
            </w:pPr>
            <w:r>
              <w:rPr>
                <w:color w:val="231F20"/>
                <w:w w:val="105"/>
                <w:sz w:val="15"/>
              </w:rPr>
              <w:t>Economics</w:t>
            </w:r>
          </w:p>
        </w:tc>
        <w:tc>
          <w:tcPr>
            <w:tcW w:w="1136" w:type="dxa"/>
            <w:tcBorders>
              <w:top w:val="single" w:sz="2" w:space="0" w:color="8F999F"/>
              <w:bottom w:val="single" w:sz="2" w:space="0" w:color="8F999F"/>
            </w:tcBorders>
          </w:tcPr>
          <w:p>
            <w:pPr>
              <w:pStyle w:val="TableParagraph"/>
              <w:ind w:left="201"/>
              <w:rPr>
                <w:sz w:val="15"/>
              </w:rPr>
            </w:pPr>
            <w:r>
              <w:rPr>
                <w:color w:val="231F20"/>
                <w:w w:val="105"/>
                <w:sz w:val="15"/>
              </w:rPr>
              <w:t>1991</w:t>
            </w:r>
          </w:p>
        </w:tc>
        <w:tc>
          <w:tcPr>
            <w:tcW w:w="1473" w:type="dxa"/>
            <w:tcBorders>
              <w:top w:val="single" w:sz="2" w:space="0" w:color="8F999F"/>
              <w:bottom w:val="single" w:sz="2" w:space="0" w:color="8F999F"/>
            </w:tcBorders>
          </w:tcPr>
          <w:p>
            <w:pPr>
              <w:pStyle w:val="TableParagraph"/>
              <w:ind w:left="383"/>
              <w:rPr>
                <w:sz w:val="15"/>
              </w:rPr>
            </w:pPr>
            <w:r>
              <w:rPr>
                <w:color w:val="231F20"/>
                <w:w w:val="105"/>
                <w:sz w:val="15"/>
              </w:rPr>
              <w:t>2014</w:t>
            </w:r>
          </w:p>
        </w:tc>
      </w:tr>
      <w:tr>
        <w:trPr>
          <w:trHeight w:val="477" w:hRule="atLeast"/>
        </w:trPr>
        <w:tc>
          <w:tcPr>
            <w:tcW w:w="2147" w:type="dxa"/>
            <w:tcBorders>
              <w:top w:val="single" w:sz="2" w:space="0" w:color="8F999F"/>
              <w:bottom w:val="single" w:sz="2" w:space="0" w:color="8F999F"/>
            </w:tcBorders>
          </w:tcPr>
          <w:p>
            <w:pPr>
              <w:pStyle w:val="TableParagraph"/>
              <w:spacing w:line="240" w:lineRule="auto"/>
              <w:rPr>
                <w:sz w:val="15"/>
              </w:rPr>
            </w:pPr>
            <w:r>
              <w:rPr>
                <w:color w:val="231F20"/>
                <w:w w:val="105"/>
                <w:sz w:val="15"/>
              </w:rPr>
              <w:t>Steven G. Hoch</w:t>
            </w:r>
          </w:p>
        </w:tc>
        <w:tc>
          <w:tcPr>
            <w:tcW w:w="1562" w:type="dxa"/>
            <w:tcBorders>
              <w:top w:val="single" w:sz="2" w:space="0" w:color="8F999F"/>
              <w:bottom w:val="single" w:sz="2" w:space="0" w:color="8F999F"/>
            </w:tcBorders>
          </w:tcPr>
          <w:p>
            <w:pPr>
              <w:pStyle w:val="TableParagraph"/>
              <w:spacing w:line="240" w:lineRule="auto"/>
              <w:ind w:left="489"/>
              <w:rPr>
                <w:sz w:val="15"/>
              </w:rPr>
            </w:pPr>
            <w:r>
              <w:rPr>
                <w:color w:val="231F20"/>
                <w:w w:val="105"/>
                <w:sz w:val="15"/>
              </w:rPr>
              <w:t>1954</w:t>
            </w:r>
          </w:p>
        </w:tc>
        <w:tc>
          <w:tcPr>
            <w:tcW w:w="1462" w:type="dxa"/>
            <w:tcBorders>
              <w:top w:val="single" w:sz="2" w:space="0" w:color="8F999F"/>
              <w:bottom w:val="single" w:sz="2" w:space="0" w:color="8F999F"/>
            </w:tcBorders>
          </w:tcPr>
          <w:p>
            <w:pPr>
              <w:pStyle w:val="TableParagraph"/>
              <w:spacing w:line="240" w:lineRule="auto"/>
              <w:ind w:left="245"/>
              <w:rPr>
                <w:sz w:val="15"/>
              </w:rPr>
            </w:pPr>
            <w:r>
              <w:rPr>
                <w:color w:val="231F20"/>
                <w:spacing w:val="3"/>
                <w:w w:val="117"/>
                <w:sz w:val="15"/>
              </w:rPr>
              <w:t>A</w:t>
            </w:r>
            <w:r>
              <w:rPr>
                <w:color w:val="231F20"/>
                <w:spacing w:val="2"/>
                <w:w w:val="107"/>
                <w:sz w:val="15"/>
              </w:rPr>
              <w:t>m</w:t>
            </w:r>
            <w:r>
              <w:rPr>
                <w:color w:val="231F20"/>
                <w:spacing w:val="2"/>
                <w:w w:val="97"/>
                <w:sz w:val="15"/>
              </w:rPr>
              <w:t>e</w:t>
            </w:r>
            <w:r>
              <w:rPr>
                <w:color w:val="231F20"/>
                <w:spacing w:val="2"/>
                <w:w w:val="88"/>
                <w:sz w:val="15"/>
              </w:rPr>
              <w:t>r</w:t>
            </w:r>
            <w:r>
              <w:rPr>
                <w:color w:val="231F20"/>
                <w:spacing w:val="1"/>
                <w:w w:val="81"/>
                <w:sz w:val="15"/>
              </w:rPr>
              <w:t>i</w:t>
            </w:r>
            <w:r>
              <w:rPr>
                <w:color w:val="231F20"/>
                <w:spacing w:val="5"/>
                <w:w w:val="105"/>
                <w:sz w:val="15"/>
              </w:rPr>
              <w:t>c</w:t>
            </w:r>
            <w:r>
              <w:rPr>
                <w:color w:val="231F20"/>
                <w:spacing w:val="1"/>
                <w:w w:val="98"/>
                <w:sz w:val="15"/>
              </w:rPr>
              <w:t>a</w:t>
            </w:r>
            <w:r>
              <w:rPr>
                <w:color w:val="231F20"/>
                <w:spacing w:val="4"/>
                <w:w w:val="105"/>
                <w:sz w:val="15"/>
              </w:rPr>
              <w:t>n</w:t>
            </w:r>
            <w:r>
              <w:rPr>
                <w:color w:val="231F20"/>
                <w:spacing w:val="2"/>
                <w:w w:val="55"/>
                <w:sz w:val="15"/>
              </w:rPr>
              <w:t>/</w:t>
            </w:r>
            <w:r>
              <w:rPr>
                <w:color w:val="231F20"/>
                <w:w w:val="128"/>
                <w:sz w:val="15"/>
              </w:rPr>
              <w:t>S</w:t>
            </w:r>
            <w:r>
              <w:rPr>
                <w:color w:val="231F20"/>
                <w:spacing w:val="2"/>
                <w:w w:val="110"/>
                <w:sz w:val="15"/>
              </w:rPr>
              <w:t>w</w:t>
            </w:r>
            <w:r>
              <w:rPr>
                <w:color w:val="231F20"/>
                <w:spacing w:val="1"/>
                <w:w w:val="81"/>
                <w:sz w:val="15"/>
              </w:rPr>
              <w:t>i</w:t>
            </w:r>
            <w:r>
              <w:rPr>
                <w:color w:val="231F20"/>
                <w:spacing w:val="2"/>
                <w:w w:val="118"/>
                <w:sz w:val="15"/>
              </w:rPr>
              <w:t>s</w:t>
            </w:r>
            <w:r>
              <w:rPr>
                <w:color w:val="231F20"/>
                <w:w w:val="118"/>
                <w:sz w:val="15"/>
              </w:rPr>
              <w:t>s</w:t>
            </w:r>
          </w:p>
        </w:tc>
        <w:tc>
          <w:tcPr>
            <w:tcW w:w="2536" w:type="dxa"/>
            <w:tcBorders>
              <w:top w:val="single" w:sz="2" w:space="0" w:color="8F999F"/>
              <w:bottom w:val="single" w:sz="2" w:space="0" w:color="8F999F"/>
            </w:tcBorders>
          </w:tcPr>
          <w:p>
            <w:pPr>
              <w:pStyle w:val="TableParagraph"/>
              <w:spacing w:line="247" w:lineRule="auto"/>
              <w:ind w:left="101" w:right="676"/>
              <w:rPr>
                <w:sz w:val="15"/>
              </w:rPr>
            </w:pPr>
            <w:r>
              <w:rPr>
                <w:color w:val="231F20"/>
                <w:sz w:val="15"/>
              </w:rPr>
              <w:t>International Relations and Economics</w:t>
            </w:r>
          </w:p>
        </w:tc>
        <w:tc>
          <w:tcPr>
            <w:tcW w:w="1136" w:type="dxa"/>
            <w:tcBorders>
              <w:top w:val="single" w:sz="2" w:space="0" w:color="8F999F"/>
              <w:bottom w:val="single" w:sz="2" w:space="0" w:color="8F999F"/>
            </w:tcBorders>
          </w:tcPr>
          <w:p>
            <w:pPr>
              <w:pStyle w:val="TableParagraph"/>
              <w:spacing w:line="240" w:lineRule="auto"/>
              <w:ind w:left="201"/>
              <w:rPr>
                <w:sz w:val="15"/>
              </w:rPr>
            </w:pPr>
            <w:r>
              <w:rPr>
                <w:color w:val="231F20"/>
                <w:w w:val="105"/>
                <w:sz w:val="15"/>
              </w:rPr>
              <w:t>2006</w:t>
            </w:r>
          </w:p>
        </w:tc>
        <w:tc>
          <w:tcPr>
            <w:tcW w:w="1473" w:type="dxa"/>
            <w:tcBorders>
              <w:top w:val="single" w:sz="2" w:space="0" w:color="8F999F"/>
              <w:bottom w:val="single" w:sz="2" w:space="0" w:color="8F999F"/>
            </w:tcBorders>
          </w:tcPr>
          <w:p>
            <w:pPr>
              <w:pStyle w:val="TableParagraph"/>
              <w:spacing w:line="240" w:lineRule="auto"/>
              <w:ind w:left="383"/>
              <w:rPr>
                <w:sz w:val="15"/>
              </w:rPr>
            </w:pPr>
            <w:r>
              <w:rPr>
                <w:color w:val="231F20"/>
                <w:w w:val="105"/>
                <w:sz w:val="15"/>
              </w:rPr>
              <w:t>2016</w:t>
            </w:r>
          </w:p>
        </w:tc>
      </w:tr>
      <w:tr>
        <w:trPr>
          <w:trHeight w:val="475" w:hRule="atLeast"/>
        </w:trPr>
        <w:tc>
          <w:tcPr>
            <w:tcW w:w="2147" w:type="dxa"/>
            <w:tcBorders>
              <w:top w:val="single" w:sz="2" w:space="0" w:color="8F999F"/>
              <w:bottom w:val="single" w:sz="2" w:space="0" w:color="8F999F"/>
            </w:tcBorders>
          </w:tcPr>
          <w:p>
            <w:pPr>
              <w:pStyle w:val="TableParagraph"/>
              <w:spacing w:line="240" w:lineRule="auto" w:before="40"/>
              <w:rPr>
                <w:sz w:val="15"/>
              </w:rPr>
            </w:pPr>
            <w:r>
              <w:rPr>
                <w:color w:val="231F20"/>
                <w:sz w:val="15"/>
              </w:rPr>
              <w:t>Naïna Lal Kidwai</w:t>
            </w:r>
          </w:p>
        </w:tc>
        <w:tc>
          <w:tcPr>
            <w:tcW w:w="1562" w:type="dxa"/>
            <w:tcBorders>
              <w:top w:val="single" w:sz="2" w:space="0" w:color="8F999F"/>
              <w:bottom w:val="single" w:sz="2" w:space="0" w:color="8F999F"/>
            </w:tcBorders>
          </w:tcPr>
          <w:p>
            <w:pPr>
              <w:pStyle w:val="TableParagraph"/>
              <w:spacing w:line="240" w:lineRule="auto" w:before="40"/>
              <w:ind w:left="489"/>
              <w:rPr>
                <w:sz w:val="15"/>
              </w:rPr>
            </w:pPr>
            <w:r>
              <w:rPr>
                <w:color w:val="231F20"/>
                <w:w w:val="105"/>
                <w:sz w:val="15"/>
              </w:rPr>
              <w:t>1957</w:t>
            </w:r>
          </w:p>
        </w:tc>
        <w:tc>
          <w:tcPr>
            <w:tcW w:w="1462" w:type="dxa"/>
            <w:tcBorders>
              <w:top w:val="single" w:sz="2" w:space="0" w:color="8F999F"/>
              <w:bottom w:val="single" w:sz="2" w:space="0" w:color="8F999F"/>
            </w:tcBorders>
          </w:tcPr>
          <w:p>
            <w:pPr>
              <w:pStyle w:val="TableParagraph"/>
              <w:spacing w:line="240" w:lineRule="auto" w:before="40"/>
              <w:ind w:left="245"/>
              <w:rPr>
                <w:sz w:val="15"/>
              </w:rPr>
            </w:pPr>
            <w:r>
              <w:rPr>
                <w:color w:val="231F20"/>
                <w:sz w:val="15"/>
              </w:rPr>
              <w:t>Indian</w:t>
            </w:r>
          </w:p>
        </w:tc>
        <w:tc>
          <w:tcPr>
            <w:tcW w:w="2536" w:type="dxa"/>
            <w:tcBorders>
              <w:top w:val="single" w:sz="2" w:space="0" w:color="8F999F"/>
              <w:bottom w:val="single" w:sz="2" w:space="0" w:color="8F999F"/>
            </w:tcBorders>
          </w:tcPr>
          <w:p>
            <w:pPr>
              <w:pStyle w:val="TableParagraph"/>
              <w:spacing w:line="247" w:lineRule="auto" w:before="40"/>
              <w:ind w:left="101"/>
              <w:rPr>
                <w:sz w:val="15"/>
              </w:rPr>
            </w:pPr>
            <w:r>
              <w:rPr>
                <w:color w:val="231F20"/>
                <w:w w:val="105"/>
                <w:sz w:val="15"/>
              </w:rPr>
              <w:t>Economics and Business Administration</w:t>
            </w:r>
          </w:p>
        </w:tc>
        <w:tc>
          <w:tcPr>
            <w:tcW w:w="1136" w:type="dxa"/>
            <w:tcBorders>
              <w:top w:val="single" w:sz="2" w:space="0" w:color="8F999F"/>
              <w:bottom w:val="single" w:sz="2" w:space="0" w:color="8F999F"/>
            </w:tcBorders>
          </w:tcPr>
          <w:p>
            <w:pPr>
              <w:pStyle w:val="TableParagraph"/>
              <w:spacing w:line="240" w:lineRule="auto" w:before="40"/>
              <w:ind w:left="201"/>
              <w:rPr>
                <w:sz w:val="15"/>
              </w:rPr>
            </w:pPr>
            <w:r>
              <w:rPr>
                <w:color w:val="231F20"/>
                <w:w w:val="105"/>
                <w:sz w:val="15"/>
              </w:rPr>
              <w:t>2006</w:t>
            </w:r>
          </w:p>
        </w:tc>
        <w:tc>
          <w:tcPr>
            <w:tcW w:w="1473" w:type="dxa"/>
            <w:tcBorders>
              <w:top w:val="single" w:sz="2" w:space="0" w:color="8F999F"/>
              <w:bottom w:val="single" w:sz="2" w:space="0" w:color="8F999F"/>
            </w:tcBorders>
          </w:tcPr>
          <w:p>
            <w:pPr>
              <w:pStyle w:val="TableParagraph"/>
              <w:spacing w:line="240" w:lineRule="auto" w:before="40"/>
              <w:ind w:left="383"/>
              <w:rPr>
                <w:sz w:val="15"/>
              </w:rPr>
            </w:pPr>
            <w:r>
              <w:rPr>
                <w:color w:val="231F20"/>
                <w:w w:val="105"/>
                <w:sz w:val="15"/>
              </w:rPr>
              <w:t>2014</w:t>
            </w:r>
          </w:p>
        </w:tc>
      </w:tr>
      <w:tr>
        <w:trPr>
          <w:trHeight w:val="232" w:hRule="atLeast"/>
        </w:trPr>
        <w:tc>
          <w:tcPr>
            <w:tcW w:w="2147" w:type="dxa"/>
            <w:tcBorders>
              <w:top w:val="single" w:sz="2" w:space="0" w:color="8F999F"/>
              <w:bottom w:val="single" w:sz="2" w:space="0" w:color="8F999F"/>
            </w:tcBorders>
          </w:tcPr>
          <w:p>
            <w:pPr>
              <w:pStyle w:val="TableParagraph"/>
              <w:spacing w:before="40"/>
              <w:rPr>
                <w:sz w:val="15"/>
              </w:rPr>
            </w:pPr>
            <w:r>
              <w:rPr>
                <w:color w:val="231F20"/>
                <w:sz w:val="15"/>
              </w:rPr>
              <w:t>Titia de Lange</w:t>
            </w:r>
          </w:p>
        </w:tc>
        <w:tc>
          <w:tcPr>
            <w:tcW w:w="1562" w:type="dxa"/>
            <w:tcBorders>
              <w:top w:val="single" w:sz="2" w:space="0" w:color="8F999F"/>
              <w:bottom w:val="single" w:sz="2" w:space="0" w:color="8F999F"/>
            </w:tcBorders>
          </w:tcPr>
          <w:p>
            <w:pPr>
              <w:pStyle w:val="TableParagraph"/>
              <w:spacing w:before="40"/>
              <w:ind w:left="489"/>
              <w:rPr>
                <w:sz w:val="15"/>
              </w:rPr>
            </w:pPr>
            <w:r>
              <w:rPr>
                <w:color w:val="231F20"/>
                <w:w w:val="105"/>
                <w:sz w:val="15"/>
              </w:rPr>
              <w:t>1955</w:t>
            </w:r>
          </w:p>
        </w:tc>
        <w:tc>
          <w:tcPr>
            <w:tcW w:w="1462" w:type="dxa"/>
            <w:tcBorders>
              <w:top w:val="single" w:sz="2" w:space="0" w:color="8F999F"/>
              <w:bottom w:val="single" w:sz="2" w:space="0" w:color="8F999F"/>
            </w:tcBorders>
          </w:tcPr>
          <w:p>
            <w:pPr>
              <w:pStyle w:val="TableParagraph"/>
              <w:spacing w:before="40"/>
              <w:ind w:left="245"/>
              <w:rPr>
                <w:sz w:val="15"/>
              </w:rPr>
            </w:pPr>
            <w:r>
              <w:rPr>
                <w:color w:val="231F20"/>
                <w:w w:val="105"/>
                <w:sz w:val="15"/>
              </w:rPr>
              <w:t>Dutch</w:t>
            </w:r>
          </w:p>
        </w:tc>
        <w:tc>
          <w:tcPr>
            <w:tcW w:w="2536" w:type="dxa"/>
            <w:tcBorders>
              <w:top w:val="single" w:sz="2" w:space="0" w:color="8F999F"/>
              <w:bottom w:val="single" w:sz="2" w:space="0" w:color="8F999F"/>
            </w:tcBorders>
          </w:tcPr>
          <w:p>
            <w:pPr>
              <w:pStyle w:val="TableParagraph"/>
              <w:spacing w:before="40"/>
              <w:ind w:left="101"/>
              <w:rPr>
                <w:sz w:val="15"/>
              </w:rPr>
            </w:pPr>
            <w:r>
              <w:rPr>
                <w:color w:val="231F20"/>
                <w:sz w:val="15"/>
              </w:rPr>
              <w:t>Biochemistry</w:t>
            </w:r>
          </w:p>
        </w:tc>
        <w:tc>
          <w:tcPr>
            <w:tcW w:w="1136" w:type="dxa"/>
            <w:tcBorders>
              <w:top w:val="single" w:sz="2" w:space="0" w:color="8F999F"/>
              <w:bottom w:val="single" w:sz="2" w:space="0" w:color="8F999F"/>
            </w:tcBorders>
          </w:tcPr>
          <w:p>
            <w:pPr>
              <w:pStyle w:val="TableParagraph"/>
              <w:spacing w:before="40"/>
              <w:ind w:left="201"/>
              <w:rPr>
                <w:sz w:val="15"/>
              </w:rPr>
            </w:pPr>
            <w:r>
              <w:rPr>
                <w:color w:val="231F20"/>
                <w:w w:val="105"/>
                <w:sz w:val="15"/>
              </w:rPr>
              <w:t>2010</w:t>
            </w:r>
          </w:p>
        </w:tc>
        <w:tc>
          <w:tcPr>
            <w:tcW w:w="1473" w:type="dxa"/>
            <w:tcBorders>
              <w:top w:val="single" w:sz="2" w:space="0" w:color="8F999F"/>
              <w:bottom w:val="single" w:sz="2" w:space="0" w:color="8F999F"/>
            </w:tcBorders>
          </w:tcPr>
          <w:p>
            <w:pPr>
              <w:pStyle w:val="TableParagraph"/>
              <w:spacing w:before="40"/>
              <w:ind w:left="383"/>
              <w:rPr>
                <w:sz w:val="15"/>
              </w:rPr>
            </w:pPr>
            <w:r>
              <w:rPr>
                <w:color w:val="231F20"/>
                <w:w w:val="105"/>
                <w:sz w:val="15"/>
              </w:rPr>
              <w:t>2016</w:t>
            </w:r>
          </w:p>
        </w:tc>
      </w:tr>
      <w:tr>
        <w:trPr>
          <w:trHeight w:val="235" w:hRule="atLeast"/>
        </w:trPr>
        <w:tc>
          <w:tcPr>
            <w:tcW w:w="2147" w:type="dxa"/>
            <w:tcBorders>
              <w:top w:val="single" w:sz="2" w:space="0" w:color="8F999F"/>
              <w:bottom w:val="single" w:sz="2" w:space="0" w:color="8F999F"/>
            </w:tcBorders>
          </w:tcPr>
          <w:p>
            <w:pPr>
              <w:pStyle w:val="TableParagraph"/>
              <w:rPr>
                <w:sz w:val="15"/>
              </w:rPr>
            </w:pPr>
            <w:r>
              <w:rPr>
                <w:color w:val="231F20"/>
                <w:sz w:val="15"/>
              </w:rPr>
              <w:t>Jean-Pierre Roth</w:t>
            </w:r>
          </w:p>
        </w:tc>
        <w:tc>
          <w:tcPr>
            <w:tcW w:w="1562" w:type="dxa"/>
            <w:tcBorders>
              <w:top w:val="single" w:sz="2" w:space="0" w:color="8F999F"/>
              <w:bottom w:val="single" w:sz="2" w:space="0" w:color="8F999F"/>
            </w:tcBorders>
          </w:tcPr>
          <w:p>
            <w:pPr>
              <w:pStyle w:val="TableParagraph"/>
              <w:ind w:left="489"/>
              <w:rPr>
                <w:sz w:val="15"/>
              </w:rPr>
            </w:pPr>
            <w:r>
              <w:rPr>
                <w:color w:val="231F20"/>
                <w:w w:val="105"/>
                <w:sz w:val="15"/>
              </w:rPr>
              <w:t>1946</w:t>
            </w:r>
          </w:p>
        </w:tc>
        <w:tc>
          <w:tcPr>
            <w:tcW w:w="1462" w:type="dxa"/>
            <w:tcBorders>
              <w:top w:val="single" w:sz="2" w:space="0" w:color="8F999F"/>
              <w:bottom w:val="single" w:sz="2" w:space="0" w:color="8F999F"/>
            </w:tcBorders>
          </w:tcPr>
          <w:p>
            <w:pPr>
              <w:pStyle w:val="TableParagraph"/>
              <w:ind w:left="245"/>
              <w:rPr>
                <w:sz w:val="15"/>
              </w:rPr>
            </w:pPr>
            <w:r>
              <w:rPr>
                <w:color w:val="231F20"/>
                <w:w w:val="110"/>
                <w:sz w:val="15"/>
              </w:rPr>
              <w:t>Swiss</w:t>
            </w:r>
          </w:p>
        </w:tc>
        <w:tc>
          <w:tcPr>
            <w:tcW w:w="2536" w:type="dxa"/>
            <w:tcBorders>
              <w:top w:val="single" w:sz="2" w:space="0" w:color="8F999F"/>
              <w:bottom w:val="single" w:sz="2" w:space="0" w:color="8F999F"/>
            </w:tcBorders>
          </w:tcPr>
          <w:p>
            <w:pPr>
              <w:pStyle w:val="TableParagraph"/>
              <w:ind w:left="101"/>
              <w:rPr>
                <w:sz w:val="15"/>
              </w:rPr>
            </w:pPr>
            <w:r>
              <w:rPr>
                <w:color w:val="231F20"/>
                <w:w w:val="105"/>
                <w:sz w:val="15"/>
              </w:rPr>
              <w:t>Economics and Finance</w:t>
            </w:r>
          </w:p>
        </w:tc>
        <w:tc>
          <w:tcPr>
            <w:tcW w:w="1136" w:type="dxa"/>
            <w:tcBorders>
              <w:top w:val="single" w:sz="2" w:space="0" w:color="8F999F"/>
              <w:bottom w:val="single" w:sz="2" w:space="0" w:color="8F999F"/>
            </w:tcBorders>
          </w:tcPr>
          <w:p>
            <w:pPr>
              <w:pStyle w:val="TableParagraph"/>
              <w:ind w:left="201"/>
              <w:rPr>
                <w:sz w:val="15"/>
              </w:rPr>
            </w:pPr>
            <w:r>
              <w:rPr>
                <w:color w:val="231F20"/>
                <w:w w:val="105"/>
                <w:sz w:val="15"/>
              </w:rPr>
              <w:t>2010</w:t>
            </w:r>
          </w:p>
        </w:tc>
        <w:tc>
          <w:tcPr>
            <w:tcW w:w="1473" w:type="dxa"/>
            <w:tcBorders>
              <w:top w:val="single" w:sz="2" w:space="0" w:color="8F999F"/>
              <w:bottom w:val="single" w:sz="2" w:space="0" w:color="8F999F"/>
            </w:tcBorders>
          </w:tcPr>
          <w:p>
            <w:pPr>
              <w:pStyle w:val="TableParagraph"/>
              <w:ind w:left="383"/>
              <w:rPr>
                <w:sz w:val="15"/>
              </w:rPr>
            </w:pPr>
            <w:r>
              <w:rPr>
                <w:color w:val="231F20"/>
                <w:w w:val="105"/>
                <w:sz w:val="15"/>
              </w:rPr>
              <w:t>2016</w:t>
            </w:r>
          </w:p>
        </w:tc>
      </w:tr>
      <w:tr>
        <w:trPr>
          <w:trHeight w:val="235" w:hRule="atLeast"/>
        </w:trPr>
        <w:tc>
          <w:tcPr>
            <w:tcW w:w="2147" w:type="dxa"/>
            <w:tcBorders>
              <w:top w:val="single" w:sz="2" w:space="0" w:color="8F999F"/>
              <w:bottom w:val="single" w:sz="2" w:space="0" w:color="8F999F"/>
            </w:tcBorders>
          </w:tcPr>
          <w:p>
            <w:pPr>
              <w:pStyle w:val="TableParagraph"/>
              <w:rPr>
                <w:sz w:val="15"/>
              </w:rPr>
            </w:pPr>
            <w:r>
              <w:rPr>
                <w:color w:val="231F20"/>
                <w:w w:val="105"/>
                <w:sz w:val="15"/>
              </w:rPr>
              <w:t>Ann M. Veneman</w:t>
            </w:r>
          </w:p>
        </w:tc>
        <w:tc>
          <w:tcPr>
            <w:tcW w:w="1562" w:type="dxa"/>
            <w:tcBorders>
              <w:top w:val="single" w:sz="2" w:space="0" w:color="8F999F"/>
              <w:bottom w:val="single" w:sz="2" w:space="0" w:color="8F999F"/>
            </w:tcBorders>
          </w:tcPr>
          <w:p>
            <w:pPr>
              <w:pStyle w:val="TableParagraph"/>
              <w:ind w:left="489"/>
              <w:rPr>
                <w:sz w:val="15"/>
              </w:rPr>
            </w:pPr>
            <w:r>
              <w:rPr>
                <w:color w:val="231F20"/>
                <w:w w:val="105"/>
                <w:sz w:val="15"/>
              </w:rPr>
              <w:t>1949</w:t>
            </w:r>
          </w:p>
        </w:tc>
        <w:tc>
          <w:tcPr>
            <w:tcW w:w="1462" w:type="dxa"/>
            <w:tcBorders>
              <w:top w:val="single" w:sz="2" w:space="0" w:color="8F999F"/>
              <w:bottom w:val="single" w:sz="2" w:space="0" w:color="8F999F"/>
            </w:tcBorders>
          </w:tcPr>
          <w:p>
            <w:pPr>
              <w:pStyle w:val="TableParagraph"/>
              <w:ind w:left="245"/>
              <w:rPr>
                <w:sz w:val="15"/>
              </w:rPr>
            </w:pPr>
            <w:r>
              <w:rPr>
                <w:color w:val="231F20"/>
                <w:sz w:val="15"/>
              </w:rPr>
              <w:t>American</w:t>
            </w:r>
          </w:p>
        </w:tc>
        <w:tc>
          <w:tcPr>
            <w:tcW w:w="2536" w:type="dxa"/>
            <w:tcBorders>
              <w:top w:val="single" w:sz="2" w:space="0" w:color="8F999F"/>
              <w:bottom w:val="single" w:sz="2" w:space="0" w:color="8F999F"/>
            </w:tcBorders>
          </w:tcPr>
          <w:p>
            <w:pPr>
              <w:pStyle w:val="TableParagraph"/>
              <w:ind w:left="101"/>
              <w:rPr>
                <w:sz w:val="15"/>
              </w:rPr>
            </w:pPr>
            <w:r>
              <w:rPr>
                <w:color w:val="231F20"/>
                <w:sz w:val="15"/>
              </w:rPr>
              <w:t>Law and Public Policy</w:t>
            </w:r>
          </w:p>
        </w:tc>
        <w:tc>
          <w:tcPr>
            <w:tcW w:w="1136" w:type="dxa"/>
            <w:tcBorders>
              <w:top w:val="single" w:sz="2" w:space="0" w:color="8F999F"/>
              <w:bottom w:val="single" w:sz="2" w:space="0" w:color="8F999F"/>
            </w:tcBorders>
          </w:tcPr>
          <w:p>
            <w:pPr>
              <w:pStyle w:val="TableParagraph"/>
              <w:ind w:left="201"/>
              <w:rPr>
                <w:sz w:val="15"/>
              </w:rPr>
            </w:pPr>
            <w:r>
              <w:rPr>
                <w:color w:val="231F20"/>
                <w:w w:val="105"/>
                <w:sz w:val="15"/>
              </w:rPr>
              <w:t>2011</w:t>
            </w:r>
          </w:p>
        </w:tc>
        <w:tc>
          <w:tcPr>
            <w:tcW w:w="1473" w:type="dxa"/>
            <w:tcBorders>
              <w:top w:val="single" w:sz="2" w:space="0" w:color="8F999F"/>
              <w:bottom w:val="single" w:sz="2" w:space="0" w:color="8F999F"/>
            </w:tcBorders>
          </w:tcPr>
          <w:p>
            <w:pPr>
              <w:pStyle w:val="TableParagraph"/>
              <w:ind w:left="383"/>
              <w:rPr>
                <w:sz w:val="15"/>
              </w:rPr>
            </w:pPr>
            <w:r>
              <w:rPr>
                <w:color w:val="231F20"/>
                <w:w w:val="105"/>
                <w:sz w:val="15"/>
              </w:rPr>
              <w:t>2014</w:t>
            </w:r>
          </w:p>
        </w:tc>
      </w:tr>
      <w:tr>
        <w:trPr>
          <w:trHeight w:val="235" w:hRule="atLeast"/>
        </w:trPr>
        <w:tc>
          <w:tcPr>
            <w:tcW w:w="2147" w:type="dxa"/>
            <w:tcBorders>
              <w:top w:val="single" w:sz="2" w:space="0" w:color="8F999F"/>
              <w:bottom w:val="single" w:sz="2" w:space="0" w:color="8F999F"/>
            </w:tcBorders>
          </w:tcPr>
          <w:p>
            <w:pPr>
              <w:pStyle w:val="TableParagraph"/>
              <w:rPr>
                <w:sz w:val="15"/>
              </w:rPr>
            </w:pPr>
            <w:r>
              <w:rPr>
                <w:color w:val="231F20"/>
                <w:sz w:val="15"/>
              </w:rPr>
              <w:t>Henri de Castries</w:t>
            </w:r>
          </w:p>
        </w:tc>
        <w:tc>
          <w:tcPr>
            <w:tcW w:w="1562" w:type="dxa"/>
            <w:tcBorders>
              <w:top w:val="single" w:sz="2" w:space="0" w:color="8F999F"/>
              <w:bottom w:val="single" w:sz="2" w:space="0" w:color="8F999F"/>
            </w:tcBorders>
          </w:tcPr>
          <w:p>
            <w:pPr>
              <w:pStyle w:val="TableParagraph"/>
              <w:ind w:left="489"/>
              <w:rPr>
                <w:sz w:val="15"/>
              </w:rPr>
            </w:pPr>
            <w:r>
              <w:rPr>
                <w:color w:val="231F20"/>
                <w:w w:val="105"/>
                <w:sz w:val="15"/>
              </w:rPr>
              <w:t>1954</w:t>
            </w:r>
          </w:p>
        </w:tc>
        <w:tc>
          <w:tcPr>
            <w:tcW w:w="1462" w:type="dxa"/>
            <w:tcBorders>
              <w:top w:val="single" w:sz="2" w:space="0" w:color="8F999F"/>
              <w:bottom w:val="single" w:sz="2" w:space="0" w:color="8F999F"/>
            </w:tcBorders>
          </w:tcPr>
          <w:p>
            <w:pPr>
              <w:pStyle w:val="TableParagraph"/>
              <w:ind w:left="245"/>
              <w:rPr>
                <w:sz w:val="15"/>
              </w:rPr>
            </w:pPr>
            <w:r>
              <w:rPr>
                <w:color w:val="231F20"/>
                <w:sz w:val="15"/>
              </w:rPr>
              <w:t>French</w:t>
            </w:r>
          </w:p>
        </w:tc>
        <w:tc>
          <w:tcPr>
            <w:tcW w:w="2536" w:type="dxa"/>
            <w:tcBorders>
              <w:top w:val="single" w:sz="2" w:space="0" w:color="8F999F"/>
              <w:bottom w:val="single" w:sz="2" w:space="0" w:color="8F999F"/>
            </w:tcBorders>
          </w:tcPr>
          <w:p>
            <w:pPr>
              <w:pStyle w:val="TableParagraph"/>
              <w:ind w:left="101"/>
              <w:rPr>
                <w:sz w:val="15"/>
              </w:rPr>
            </w:pPr>
            <w:r>
              <w:rPr>
                <w:color w:val="231F20"/>
                <w:w w:val="105"/>
                <w:sz w:val="15"/>
              </w:rPr>
              <w:t>HEC, Law degree and ENA</w:t>
            </w:r>
          </w:p>
        </w:tc>
        <w:tc>
          <w:tcPr>
            <w:tcW w:w="1136" w:type="dxa"/>
            <w:tcBorders>
              <w:top w:val="single" w:sz="2" w:space="0" w:color="8F999F"/>
              <w:bottom w:val="single" w:sz="2" w:space="0" w:color="8F999F"/>
            </w:tcBorders>
          </w:tcPr>
          <w:p>
            <w:pPr>
              <w:pStyle w:val="TableParagraph"/>
              <w:ind w:left="201"/>
              <w:rPr>
                <w:sz w:val="15"/>
              </w:rPr>
            </w:pPr>
            <w:r>
              <w:rPr>
                <w:color w:val="231F20"/>
                <w:w w:val="105"/>
                <w:sz w:val="15"/>
              </w:rPr>
              <w:t>2012</w:t>
            </w:r>
          </w:p>
        </w:tc>
        <w:tc>
          <w:tcPr>
            <w:tcW w:w="1473" w:type="dxa"/>
            <w:tcBorders>
              <w:top w:val="single" w:sz="2" w:space="0" w:color="8F999F"/>
              <w:bottom w:val="single" w:sz="2" w:space="0" w:color="8F999F"/>
            </w:tcBorders>
          </w:tcPr>
          <w:p>
            <w:pPr>
              <w:pStyle w:val="TableParagraph"/>
              <w:ind w:left="383"/>
              <w:rPr>
                <w:sz w:val="15"/>
              </w:rPr>
            </w:pPr>
            <w:r>
              <w:rPr>
                <w:color w:val="231F20"/>
                <w:w w:val="105"/>
                <w:sz w:val="15"/>
              </w:rPr>
              <w:t>2015</w:t>
            </w:r>
          </w:p>
        </w:tc>
      </w:tr>
      <w:tr>
        <w:trPr>
          <w:trHeight w:val="235" w:hRule="atLeast"/>
        </w:trPr>
        <w:tc>
          <w:tcPr>
            <w:tcW w:w="2147" w:type="dxa"/>
            <w:tcBorders>
              <w:top w:val="single" w:sz="2" w:space="0" w:color="8F999F"/>
              <w:bottom w:val="single" w:sz="2" w:space="0" w:color="8F999F"/>
            </w:tcBorders>
          </w:tcPr>
          <w:p>
            <w:pPr>
              <w:pStyle w:val="TableParagraph"/>
              <w:rPr>
                <w:sz w:val="15"/>
              </w:rPr>
            </w:pPr>
            <w:r>
              <w:rPr>
                <w:color w:val="231F20"/>
                <w:w w:val="105"/>
                <w:sz w:val="15"/>
              </w:rPr>
              <w:t>Eva Cheng</w:t>
            </w:r>
          </w:p>
        </w:tc>
        <w:tc>
          <w:tcPr>
            <w:tcW w:w="1562" w:type="dxa"/>
            <w:tcBorders>
              <w:top w:val="single" w:sz="2" w:space="0" w:color="8F999F"/>
              <w:bottom w:val="single" w:sz="2" w:space="0" w:color="8F999F"/>
            </w:tcBorders>
          </w:tcPr>
          <w:p>
            <w:pPr>
              <w:pStyle w:val="TableParagraph"/>
              <w:ind w:left="489"/>
              <w:rPr>
                <w:sz w:val="15"/>
              </w:rPr>
            </w:pPr>
            <w:r>
              <w:rPr>
                <w:color w:val="231F20"/>
                <w:w w:val="105"/>
                <w:sz w:val="15"/>
              </w:rPr>
              <w:t>1952</w:t>
            </w:r>
          </w:p>
        </w:tc>
        <w:tc>
          <w:tcPr>
            <w:tcW w:w="1462" w:type="dxa"/>
            <w:tcBorders>
              <w:top w:val="single" w:sz="2" w:space="0" w:color="8F999F"/>
              <w:bottom w:val="single" w:sz="2" w:space="0" w:color="8F999F"/>
            </w:tcBorders>
          </w:tcPr>
          <w:p>
            <w:pPr>
              <w:pStyle w:val="TableParagraph"/>
              <w:ind w:left="245"/>
              <w:rPr>
                <w:sz w:val="15"/>
              </w:rPr>
            </w:pPr>
            <w:r>
              <w:rPr>
                <w:color w:val="231F20"/>
                <w:sz w:val="15"/>
              </w:rPr>
              <w:t>Chinese</w:t>
            </w:r>
          </w:p>
        </w:tc>
        <w:tc>
          <w:tcPr>
            <w:tcW w:w="2536" w:type="dxa"/>
            <w:tcBorders>
              <w:top w:val="single" w:sz="2" w:space="0" w:color="8F999F"/>
              <w:bottom w:val="single" w:sz="2" w:space="0" w:color="8F999F"/>
            </w:tcBorders>
          </w:tcPr>
          <w:p>
            <w:pPr>
              <w:pStyle w:val="TableParagraph"/>
              <w:ind w:left="101"/>
              <w:rPr>
                <w:sz w:val="15"/>
              </w:rPr>
            </w:pPr>
            <w:r>
              <w:rPr>
                <w:color w:val="231F20"/>
                <w:sz w:val="15"/>
              </w:rPr>
              <w:t>Business Administration, History</w:t>
            </w:r>
          </w:p>
        </w:tc>
        <w:tc>
          <w:tcPr>
            <w:tcW w:w="1136" w:type="dxa"/>
            <w:tcBorders>
              <w:top w:val="single" w:sz="2" w:space="0" w:color="8F999F"/>
              <w:bottom w:val="single" w:sz="2" w:space="0" w:color="8F999F"/>
            </w:tcBorders>
          </w:tcPr>
          <w:p>
            <w:pPr>
              <w:pStyle w:val="TableParagraph"/>
              <w:ind w:left="201"/>
              <w:rPr>
                <w:sz w:val="15"/>
              </w:rPr>
            </w:pPr>
            <w:r>
              <w:rPr>
                <w:color w:val="231F20"/>
                <w:w w:val="105"/>
                <w:sz w:val="15"/>
              </w:rPr>
              <w:t>2013</w:t>
            </w:r>
          </w:p>
        </w:tc>
        <w:tc>
          <w:tcPr>
            <w:tcW w:w="1473" w:type="dxa"/>
            <w:tcBorders>
              <w:top w:val="single" w:sz="2" w:space="0" w:color="8F999F"/>
              <w:bottom w:val="single" w:sz="2" w:space="0" w:color="8F999F"/>
            </w:tcBorders>
          </w:tcPr>
          <w:p>
            <w:pPr>
              <w:pStyle w:val="TableParagraph"/>
              <w:ind w:left="383"/>
              <w:rPr>
                <w:sz w:val="15"/>
              </w:rPr>
            </w:pPr>
            <w:r>
              <w:rPr>
                <w:color w:val="231F20"/>
                <w:w w:val="105"/>
                <w:sz w:val="15"/>
              </w:rPr>
              <w:t>2016</w:t>
            </w:r>
          </w:p>
        </w:tc>
      </w:tr>
    </w:tbl>
    <w:p>
      <w:pPr>
        <w:pStyle w:val="BodyText"/>
        <w:spacing w:before="1"/>
        <w:rPr>
          <w:b/>
          <w:sz w:val="17"/>
        </w:rPr>
      </w:pPr>
    </w:p>
    <w:p>
      <w:pPr>
        <w:pStyle w:val="ListParagraph"/>
        <w:numPr>
          <w:ilvl w:val="0"/>
          <w:numId w:val="3"/>
        </w:numPr>
        <w:tabs>
          <w:tab w:pos="334" w:val="left" w:leader="none"/>
        </w:tabs>
        <w:spacing w:line="240" w:lineRule="auto" w:before="101" w:after="0"/>
        <w:ind w:left="333" w:right="0" w:hanging="227"/>
        <w:jc w:val="left"/>
        <w:rPr>
          <w:sz w:val="13"/>
        </w:rPr>
      </w:pPr>
      <w:r>
        <w:rPr>
          <w:color w:val="586670"/>
          <w:spacing w:val="2"/>
          <w:w w:val="105"/>
          <w:sz w:val="13"/>
        </w:rPr>
        <w:t>F</w:t>
      </w:r>
      <w:r>
        <w:rPr>
          <w:color w:val="586670"/>
          <w:spacing w:val="2"/>
          <w:w w:val="106"/>
          <w:sz w:val="13"/>
        </w:rPr>
        <w:t>o</w:t>
      </w:r>
      <w:r>
        <w:rPr>
          <w:color w:val="586670"/>
          <w:w w:val="88"/>
          <w:sz w:val="13"/>
        </w:rPr>
        <w:t>r</w:t>
      </w:r>
      <w:r>
        <w:rPr>
          <w:color w:val="586670"/>
          <w:spacing w:val="-7"/>
          <w:sz w:val="13"/>
        </w:rPr>
        <w:t> </w:t>
      </w:r>
      <w:r>
        <w:rPr>
          <w:color w:val="586670"/>
          <w:spacing w:val="2"/>
          <w:w w:val="107"/>
          <w:sz w:val="13"/>
        </w:rPr>
        <w:t>m</w:t>
      </w:r>
      <w:r>
        <w:rPr>
          <w:color w:val="586670"/>
          <w:spacing w:val="2"/>
          <w:w w:val="106"/>
          <w:sz w:val="13"/>
        </w:rPr>
        <w:t>o</w:t>
      </w:r>
      <w:r>
        <w:rPr>
          <w:color w:val="586670"/>
          <w:spacing w:val="2"/>
          <w:w w:val="88"/>
          <w:sz w:val="13"/>
        </w:rPr>
        <w:t>r</w:t>
      </w:r>
      <w:r>
        <w:rPr>
          <w:color w:val="586670"/>
          <w:w w:val="97"/>
          <w:sz w:val="13"/>
        </w:rPr>
        <w:t>e</w:t>
      </w:r>
      <w:r>
        <w:rPr>
          <w:color w:val="586670"/>
          <w:spacing w:val="-7"/>
          <w:sz w:val="13"/>
        </w:rPr>
        <w:t> </w:t>
      </w:r>
      <w:r>
        <w:rPr>
          <w:color w:val="586670"/>
          <w:spacing w:val="3"/>
          <w:w w:val="105"/>
          <w:sz w:val="13"/>
        </w:rPr>
        <w:t>c</w:t>
      </w:r>
      <w:r>
        <w:rPr>
          <w:color w:val="586670"/>
          <w:spacing w:val="2"/>
          <w:w w:val="106"/>
          <w:sz w:val="13"/>
        </w:rPr>
        <w:t>o</w:t>
      </w:r>
      <w:r>
        <w:rPr>
          <w:color w:val="586670"/>
          <w:spacing w:val="1"/>
          <w:w w:val="107"/>
          <w:sz w:val="13"/>
        </w:rPr>
        <w:t>m</w:t>
      </w:r>
      <w:r>
        <w:rPr>
          <w:color w:val="586670"/>
          <w:spacing w:val="2"/>
          <w:w w:val="104"/>
          <w:sz w:val="13"/>
        </w:rPr>
        <w:t>p</w:t>
      </w:r>
      <w:r>
        <w:rPr>
          <w:color w:val="586670"/>
          <w:spacing w:val="2"/>
          <w:w w:val="79"/>
          <w:sz w:val="13"/>
        </w:rPr>
        <w:t>l</w:t>
      </w:r>
      <w:r>
        <w:rPr>
          <w:color w:val="586670"/>
          <w:spacing w:val="1"/>
          <w:w w:val="97"/>
          <w:sz w:val="13"/>
        </w:rPr>
        <w:t>e</w:t>
      </w:r>
      <w:r>
        <w:rPr>
          <w:color w:val="586670"/>
          <w:spacing w:val="1"/>
          <w:w w:val="81"/>
          <w:sz w:val="13"/>
        </w:rPr>
        <w:t>t</w:t>
      </w:r>
      <w:r>
        <w:rPr>
          <w:color w:val="586670"/>
          <w:w w:val="97"/>
          <w:sz w:val="13"/>
        </w:rPr>
        <w:t>e</w:t>
      </w:r>
      <w:r>
        <w:rPr>
          <w:color w:val="586670"/>
          <w:spacing w:val="-7"/>
          <w:sz w:val="13"/>
        </w:rPr>
        <w:t> </w:t>
      </w:r>
      <w:r>
        <w:rPr>
          <w:color w:val="586670"/>
          <w:spacing w:val="1"/>
          <w:w w:val="81"/>
          <w:sz w:val="13"/>
        </w:rPr>
        <w:t>i</w:t>
      </w:r>
      <w:r>
        <w:rPr>
          <w:color w:val="586670"/>
          <w:spacing w:val="1"/>
          <w:w w:val="105"/>
          <w:sz w:val="13"/>
        </w:rPr>
        <w:t>n</w:t>
      </w:r>
      <w:r>
        <w:rPr>
          <w:color w:val="586670"/>
          <w:w w:val="86"/>
          <w:sz w:val="13"/>
        </w:rPr>
        <w:t>f</w:t>
      </w:r>
      <w:r>
        <w:rPr>
          <w:color w:val="586670"/>
          <w:spacing w:val="2"/>
          <w:w w:val="106"/>
          <w:sz w:val="13"/>
        </w:rPr>
        <w:t>o</w:t>
      </w:r>
      <w:r>
        <w:rPr>
          <w:color w:val="586670"/>
          <w:spacing w:val="3"/>
          <w:w w:val="88"/>
          <w:sz w:val="13"/>
        </w:rPr>
        <w:t>r</w:t>
      </w:r>
      <w:r>
        <w:rPr>
          <w:color w:val="586670"/>
          <w:spacing w:val="3"/>
          <w:w w:val="107"/>
          <w:sz w:val="13"/>
        </w:rPr>
        <w:t>m</w:t>
      </w:r>
      <w:r>
        <w:rPr>
          <w:color w:val="586670"/>
          <w:spacing w:val="1"/>
          <w:w w:val="98"/>
          <w:sz w:val="13"/>
        </w:rPr>
        <w:t>a</w:t>
      </w:r>
      <w:r>
        <w:rPr>
          <w:color w:val="586670"/>
          <w:spacing w:val="2"/>
          <w:w w:val="81"/>
          <w:sz w:val="13"/>
        </w:rPr>
        <w:t>ti</w:t>
      </w:r>
      <w:r>
        <w:rPr>
          <w:color w:val="586670"/>
          <w:spacing w:val="2"/>
          <w:w w:val="106"/>
          <w:sz w:val="13"/>
        </w:rPr>
        <w:t>o</w:t>
      </w:r>
      <w:r>
        <w:rPr>
          <w:color w:val="586670"/>
          <w:w w:val="105"/>
          <w:sz w:val="13"/>
        </w:rPr>
        <w:t>n</w:t>
      </w:r>
      <w:r>
        <w:rPr>
          <w:color w:val="586670"/>
          <w:spacing w:val="-7"/>
          <w:sz w:val="13"/>
        </w:rPr>
        <w:t> </w:t>
      </w:r>
      <w:r>
        <w:rPr>
          <w:color w:val="586670"/>
          <w:spacing w:val="2"/>
          <w:w w:val="106"/>
          <w:sz w:val="13"/>
        </w:rPr>
        <w:t>o</w:t>
      </w:r>
      <w:r>
        <w:rPr>
          <w:color w:val="586670"/>
          <w:w w:val="105"/>
          <w:sz w:val="13"/>
        </w:rPr>
        <w:t>n</w:t>
      </w:r>
      <w:r>
        <w:rPr>
          <w:color w:val="586670"/>
          <w:spacing w:val="-7"/>
          <w:sz w:val="13"/>
        </w:rPr>
        <w:t> </w:t>
      </w:r>
      <w:r>
        <w:rPr>
          <w:color w:val="586670"/>
          <w:spacing w:val="1"/>
          <w:w w:val="104"/>
          <w:sz w:val="13"/>
        </w:rPr>
        <w:t>q</w:t>
      </w:r>
      <w:r>
        <w:rPr>
          <w:color w:val="586670"/>
          <w:spacing w:val="3"/>
          <w:w w:val="105"/>
          <w:sz w:val="13"/>
        </w:rPr>
        <w:t>u</w:t>
      </w:r>
      <w:r>
        <w:rPr>
          <w:color w:val="586670"/>
          <w:spacing w:val="1"/>
          <w:w w:val="98"/>
          <w:sz w:val="13"/>
        </w:rPr>
        <w:t>a</w:t>
      </w:r>
      <w:r>
        <w:rPr>
          <w:color w:val="586670"/>
          <w:spacing w:val="1"/>
          <w:w w:val="79"/>
          <w:sz w:val="13"/>
        </w:rPr>
        <w:t>l</w:t>
      </w:r>
      <w:r>
        <w:rPr>
          <w:color w:val="586670"/>
          <w:spacing w:val="3"/>
          <w:w w:val="81"/>
          <w:sz w:val="13"/>
        </w:rPr>
        <w:t>i</w:t>
      </w:r>
      <w:r>
        <w:rPr>
          <w:color w:val="586670"/>
          <w:w w:val="83"/>
          <w:sz w:val="13"/>
        </w:rPr>
        <w:t>f</w:t>
      </w:r>
      <w:r>
        <w:rPr>
          <w:color w:val="586670"/>
          <w:spacing w:val="2"/>
          <w:w w:val="83"/>
          <w:sz w:val="13"/>
        </w:rPr>
        <w:t>i</w:t>
      </w:r>
      <w:r>
        <w:rPr>
          <w:color w:val="586670"/>
          <w:spacing w:val="5"/>
          <w:w w:val="105"/>
          <w:sz w:val="13"/>
        </w:rPr>
        <w:t>c</w:t>
      </w:r>
      <w:r>
        <w:rPr>
          <w:color w:val="586670"/>
          <w:spacing w:val="1"/>
          <w:w w:val="98"/>
          <w:sz w:val="13"/>
        </w:rPr>
        <w:t>a</w:t>
      </w:r>
      <w:r>
        <w:rPr>
          <w:color w:val="586670"/>
          <w:spacing w:val="2"/>
          <w:w w:val="81"/>
          <w:sz w:val="13"/>
        </w:rPr>
        <w:t>ti</w:t>
      </w:r>
      <w:r>
        <w:rPr>
          <w:color w:val="586670"/>
          <w:spacing w:val="2"/>
          <w:w w:val="106"/>
          <w:sz w:val="13"/>
        </w:rPr>
        <w:t>o</w:t>
      </w:r>
      <w:r>
        <w:rPr>
          <w:color w:val="586670"/>
          <w:spacing w:val="1"/>
          <w:w w:val="105"/>
          <w:sz w:val="13"/>
        </w:rPr>
        <w:t>n</w:t>
      </w:r>
      <w:r>
        <w:rPr>
          <w:color w:val="586670"/>
          <w:w w:val="98"/>
          <w:sz w:val="13"/>
        </w:rPr>
        <w:t>s:</w:t>
      </w:r>
      <w:r>
        <w:rPr>
          <w:color w:val="586670"/>
          <w:spacing w:val="-7"/>
          <w:sz w:val="13"/>
        </w:rPr>
        <w:t> </w:t>
      </w:r>
      <w:r>
        <w:rPr>
          <w:color w:val="586670"/>
          <w:spacing w:val="2"/>
          <w:w w:val="104"/>
          <w:sz w:val="13"/>
        </w:rPr>
        <w:t>p</w:t>
      </w:r>
      <w:r>
        <w:rPr>
          <w:color w:val="586670"/>
          <w:spacing w:val="2"/>
          <w:w w:val="79"/>
          <w:sz w:val="13"/>
        </w:rPr>
        <w:t>l</w:t>
      </w:r>
      <w:r>
        <w:rPr>
          <w:color w:val="586670"/>
          <w:spacing w:val="4"/>
          <w:w w:val="97"/>
          <w:sz w:val="13"/>
        </w:rPr>
        <w:t>e</w:t>
      </w:r>
      <w:r>
        <w:rPr>
          <w:color w:val="586670"/>
          <w:spacing w:val="1"/>
          <w:w w:val="98"/>
          <w:sz w:val="13"/>
        </w:rPr>
        <w:t>a</w:t>
      </w:r>
      <w:r>
        <w:rPr>
          <w:color w:val="586670"/>
          <w:spacing w:val="2"/>
          <w:w w:val="118"/>
          <w:sz w:val="13"/>
        </w:rPr>
        <w:t>s</w:t>
      </w:r>
      <w:r>
        <w:rPr>
          <w:color w:val="586670"/>
          <w:w w:val="97"/>
          <w:sz w:val="13"/>
        </w:rPr>
        <w:t>e</w:t>
      </w:r>
      <w:r>
        <w:rPr>
          <w:color w:val="586670"/>
          <w:spacing w:val="-7"/>
          <w:sz w:val="13"/>
        </w:rPr>
        <w:t> </w:t>
      </w:r>
      <w:r>
        <w:rPr>
          <w:color w:val="586670"/>
          <w:spacing w:val="2"/>
          <w:w w:val="88"/>
          <w:sz w:val="13"/>
        </w:rPr>
        <w:t>r</w:t>
      </w:r>
      <w:r>
        <w:rPr>
          <w:color w:val="586670"/>
          <w:spacing w:val="1"/>
          <w:w w:val="97"/>
          <w:sz w:val="13"/>
        </w:rPr>
        <w:t>e</w:t>
      </w:r>
      <w:r>
        <w:rPr>
          <w:color w:val="586670"/>
          <w:w w:val="86"/>
          <w:sz w:val="13"/>
        </w:rPr>
        <w:t>f</w:t>
      </w:r>
      <w:r>
        <w:rPr>
          <w:color w:val="586670"/>
          <w:spacing w:val="2"/>
          <w:w w:val="97"/>
          <w:sz w:val="13"/>
        </w:rPr>
        <w:t>e</w:t>
      </w:r>
      <w:r>
        <w:rPr>
          <w:color w:val="586670"/>
          <w:w w:val="88"/>
          <w:sz w:val="13"/>
        </w:rPr>
        <w:t>r</w:t>
      </w:r>
      <w:r>
        <w:rPr>
          <w:color w:val="586670"/>
          <w:spacing w:val="-7"/>
          <w:sz w:val="13"/>
        </w:rPr>
        <w:t> </w:t>
      </w:r>
      <w:r>
        <w:rPr>
          <w:color w:val="586670"/>
          <w:spacing w:val="1"/>
          <w:w w:val="81"/>
          <w:sz w:val="13"/>
        </w:rPr>
        <w:t>t</w:t>
      </w:r>
      <w:r>
        <w:rPr>
          <w:color w:val="586670"/>
          <w:w w:val="106"/>
          <w:sz w:val="13"/>
        </w:rPr>
        <w:t>o</w:t>
      </w:r>
      <w:r>
        <w:rPr>
          <w:color w:val="586670"/>
          <w:spacing w:val="-7"/>
          <w:sz w:val="13"/>
        </w:rPr>
        <w:t> </w:t>
      </w:r>
      <w:r>
        <w:rPr>
          <w:color w:val="586670"/>
          <w:spacing w:val="1"/>
          <w:w w:val="81"/>
          <w:sz w:val="13"/>
        </w:rPr>
        <w:t>i</w:t>
      </w:r>
      <w:r>
        <w:rPr>
          <w:color w:val="586670"/>
          <w:spacing w:val="2"/>
          <w:w w:val="105"/>
          <w:sz w:val="13"/>
        </w:rPr>
        <w:t>n</w:t>
      </w:r>
      <w:r>
        <w:rPr>
          <w:color w:val="586670"/>
          <w:spacing w:val="1"/>
          <w:w w:val="104"/>
          <w:sz w:val="13"/>
        </w:rPr>
        <w:t>d</w:t>
      </w:r>
      <w:r>
        <w:rPr>
          <w:color w:val="586670"/>
          <w:spacing w:val="2"/>
          <w:w w:val="81"/>
          <w:sz w:val="13"/>
        </w:rPr>
        <w:t>i</w:t>
      </w:r>
      <w:r>
        <w:rPr>
          <w:color w:val="586670"/>
          <w:spacing w:val="2"/>
          <w:w w:val="104"/>
          <w:sz w:val="13"/>
        </w:rPr>
        <w:t>v</w:t>
      </w:r>
      <w:r>
        <w:rPr>
          <w:color w:val="586670"/>
          <w:spacing w:val="2"/>
          <w:w w:val="81"/>
          <w:sz w:val="13"/>
        </w:rPr>
        <w:t>i</w:t>
      </w:r>
      <w:r>
        <w:rPr>
          <w:color w:val="586670"/>
          <w:spacing w:val="1"/>
          <w:w w:val="104"/>
          <w:sz w:val="13"/>
        </w:rPr>
        <w:t>d</w:t>
      </w:r>
      <w:r>
        <w:rPr>
          <w:color w:val="586670"/>
          <w:spacing w:val="3"/>
          <w:w w:val="105"/>
          <w:sz w:val="13"/>
        </w:rPr>
        <w:t>u</w:t>
      </w:r>
      <w:r>
        <w:rPr>
          <w:color w:val="586670"/>
          <w:spacing w:val="1"/>
          <w:w w:val="98"/>
          <w:sz w:val="13"/>
        </w:rPr>
        <w:t>a</w:t>
      </w:r>
      <w:r>
        <w:rPr>
          <w:color w:val="586670"/>
          <w:w w:val="79"/>
          <w:sz w:val="13"/>
        </w:rPr>
        <w:t>l</w:t>
      </w:r>
      <w:r>
        <w:rPr>
          <w:color w:val="586670"/>
          <w:spacing w:val="-7"/>
          <w:sz w:val="13"/>
        </w:rPr>
        <w:t> </w:t>
      </w:r>
      <w:r>
        <w:rPr>
          <w:color w:val="586670"/>
          <w:spacing w:val="2"/>
          <w:w w:val="111"/>
          <w:sz w:val="13"/>
        </w:rPr>
        <w:t>C</w:t>
      </w:r>
      <w:r>
        <w:rPr>
          <w:color w:val="586670"/>
          <w:spacing w:val="-2"/>
          <w:w w:val="110"/>
          <w:sz w:val="13"/>
        </w:rPr>
        <w:t>V</w:t>
      </w:r>
      <w:r>
        <w:rPr>
          <w:color w:val="586670"/>
          <w:w w:val="118"/>
          <w:sz w:val="13"/>
        </w:rPr>
        <w:t>s</w:t>
      </w:r>
      <w:r>
        <w:rPr>
          <w:color w:val="586670"/>
          <w:spacing w:val="-7"/>
          <w:sz w:val="13"/>
        </w:rPr>
        <w:t> </w:t>
      </w:r>
      <w:r>
        <w:rPr>
          <w:color w:val="586670"/>
          <w:spacing w:val="2"/>
          <w:w w:val="106"/>
          <w:sz w:val="13"/>
        </w:rPr>
        <w:t>o</w:t>
      </w:r>
      <w:r>
        <w:rPr>
          <w:color w:val="586670"/>
          <w:w w:val="105"/>
          <w:sz w:val="13"/>
        </w:rPr>
        <w:t>n</w:t>
      </w:r>
      <w:r>
        <w:rPr>
          <w:color w:val="586670"/>
          <w:spacing w:val="-7"/>
          <w:sz w:val="13"/>
        </w:rPr>
        <w:t> </w:t>
      </w:r>
      <w:hyperlink r:id="rId25">
        <w:r>
          <w:rPr>
            <w:color w:val="586670"/>
            <w:spacing w:val="6"/>
            <w:w w:val="110"/>
            <w:sz w:val="13"/>
          </w:rPr>
          <w:t>ww</w:t>
        </w:r>
        <w:r>
          <w:rPr>
            <w:color w:val="586670"/>
            <w:spacing w:val="-4"/>
            <w:w w:val="110"/>
            <w:sz w:val="13"/>
          </w:rPr>
          <w:t>w</w:t>
        </w:r>
        <w:r>
          <w:rPr>
            <w:color w:val="586670"/>
            <w:spacing w:val="1"/>
            <w:w w:val="76"/>
            <w:sz w:val="13"/>
          </w:rPr>
          <w:t>.</w:t>
        </w:r>
        <w:r>
          <w:rPr>
            <w:color w:val="586670"/>
            <w:spacing w:val="2"/>
            <w:w w:val="105"/>
            <w:sz w:val="13"/>
          </w:rPr>
          <w:t>n</w:t>
        </w:r>
        <w:r>
          <w:rPr>
            <w:color w:val="586670"/>
            <w:spacing w:val="2"/>
            <w:w w:val="97"/>
            <w:sz w:val="13"/>
          </w:rPr>
          <w:t>e</w:t>
        </w:r>
        <w:r>
          <w:rPr>
            <w:color w:val="586670"/>
            <w:spacing w:val="3"/>
            <w:w w:val="118"/>
            <w:sz w:val="13"/>
          </w:rPr>
          <w:t>s</w:t>
        </w:r>
        <w:r>
          <w:rPr>
            <w:color w:val="586670"/>
            <w:spacing w:val="2"/>
            <w:w w:val="81"/>
            <w:sz w:val="13"/>
          </w:rPr>
          <w:t>t</w:t>
        </w:r>
        <w:r>
          <w:rPr>
            <w:color w:val="586670"/>
            <w:spacing w:val="2"/>
            <w:w w:val="79"/>
            <w:sz w:val="13"/>
          </w:rPr>
          <w:t>l</w:t>
        </w:r>
        <w:r>
          <w:rPr>
            <w:color w:val="586670"/>
            <w:spacing w:val="1"/>
            <w:w w:val="97"/>
            <w:sz w:val="13"/>
          </w:rPr>
          <w:t>e</w:t>
        </w:r>
        <w:r>
          <w:rPr>
            <w:color w:val="586670"/>
            <w:w w:val="76"/>
            <w:sz w:val="13"/>
          </w:rPr>
          <w:t>.</w:t>
        </w:r>
        <w:r>
          <w:rPr>
            <w:color w:val="586670"/>
            <w:spacing w:val="3"/>
            <w:w w:val="105"/>
            <w:sz w:val="13"/>
          </w:rPr>
          <w:t>c</w:t>
        </w:r>
        <w:r>
          <w:rPr>
            <w:color w:val="586670"/>
            <w:spacing w:val="2"/>
            <w:w w:val="106"/>
            <w:sz w:val="13"/>
          </w:rPr>
          <w:t>o</w:t>
        </w:r>
        <w:r>
          <w:rPr>
            <w:color w:val="586670"/>
            <w:spacing w:val="4"/>
            <w:w w:val="107"/>
            <w:sz w:val="13"/>
          </w:rPr>
          <w:t>m</w:t>
        </w:r>
        <w:r>
          <w:rPr>
            <w:color w:val="586670"/>
            <w:spacing w:val="4"/>
            <w:w w:val="55"/>
            <w:sz w:val="13"/>
          </w:rPr>
          <w:t>/</w:t>
        </w:r>
        <w:r>
          <w:rPr>
            <w:color w:val="586670"/>
            <w:spacing w:val="1"/>
            <w:w w:val="81"/>
            <w:sz w:val="13"/>
          </w:rPr>
          <w:t>i</w:t>
        </w:r>
        <w:r>
          <w:rPr>
            <w:color w:val="586670"/>
            <w:w w:val="105"/>
            <w:sz w:val="13"/>
          </w:rPr>
          <w:t>n</w:t>
        </w:r>
        <w:r>
          <w:rPr>
            <w:color w:val="586670"/>
            <w:spacing w:val="1"/>
            <w:w w:val="104"/>
            <w:sz w:val="13"/>
          </w:rPr>
          <w:t>v</w:t>
        </w:r>
        <w:r>
          <w:rPr>
            <w:color w:val="586670"/>
            <w:spacing w:val="2"/>
            <w:w w:val="97"/>
            <w:sz w:val="13"/>
          </w:rPr>
          <w:t>e</w:t>
        </w:r>
        <w:r>
          <w:rPr>
            <w:color w:val="586670"/>
            <w:spacing w:val="3"/>
            <w:w w:val="118"/>
            <w:sz w:val="13"/>
          </w:rPr>
          <w:t>s</w:t>
        </w:r>
        <w:r>
          <w:rPr>
            <w:color w:val="586670"/>
            <w:spacing w:val="1"/>
            <w:w w:val="81"/>
            <w:sz w:val="13"/>
          </w:rPr>
          <w:t>t</w:t>
        </w:r>
        <w:r>
          <w:rPr>
            <w:color w:val="586670"/>
            <w:spacing w:val="2"/>
            <w:w w:val="106"/>
            <w:sz w:val="13"/>
          </w:rPr>
          <w:t>o</w:t>
        </w:r>
        <w:r>
          <w:rPr>
            <w:color w:val="586670"/>
            <w:spacing w:val="3"/>
            <w:w w:val="88"/>
            <w:sz w:val="13"/>
          </w:rPr>
          <w:t>r</w:t>
        </w:r>
        <w:r>
          <w:rPr>
            <w:color w:val="586670"/>
            <w:spacing w:val="4"/>
            <w:w w:val="118"/>
            <w:sz w:val="13"/>
          </w:rPr>
          <w:t>s</w:t>
        </w:r>
        <w:r>
          <w:rPr>
            <w:color w:val="586670"/>
            <w:spacing w:val="-1"/>
            <w:w w:val="55"/>
            <w:sz w:val="13"/>
          </w:rPr>
          <w:t>/</w:t>
        </w:r>
        <w:r>
          <w:rPr>
            <w:color w:val="586670"/>
            <w:spacing w:val="3"/>
            <w:w w:val="105"/>
            <w:sz w:val="13"/>
          </w:rPr>
          <w:t>c</w:t>
        </w:r>
        <w:r>
          <w:rPr>
            <w:color w:val="586670"/>
            <w:spacing w:val="2"/>
            <w:w w:val="106"/>
            <w:sz w:val="13"/>
          </w:rPr>
          <w:t>o</w:t>
        </w:r>
        <w:r>
          <w:rPr>
            <w:color w:val="586670"/>
            <w:spacing w:val="3"/>
            <w:w w:val="88"/>
            <w:sz w:val="13"/>
          </w:rPr>
          <w:t>r</w:t>
        </w:r>
        <w:r>
          <w:rPr>
            <w:color w:val="586670"/>
            <w:spacing w:val="3"/>
            <w:w w:val="104"/>
            <w:sz w:val="13"/>
          </w:rPr>
          <w:t>p</w:t>
        </w:r>
        <w:r>
          <w:rPr>
            <w:color w:val="586670"/>
            <w:spacing w:val="2"/>
            <w:w w:val="106"/>
            <w:sz w:val="13"/>
          </w:rPr>
          <w:t>o</w:t>
        </w:r>
        <w:r>
          <w:rPr>
            <w:color w:val="586670"/>
            <w:spacing w:val="3"/>
            <w:w w:val="88"/>
            <w:sz w:val="13"/>
          </w:rPr>
          <w:t>r</w:t>
        </w:r>
        <w:r>
          <w:rPr>
            <w:color w:val="586670"/>
            <w:spacing w:val="1"/>
            <w:w w:val="98"/>
            <w:sz w:val="13"/>
          </w:rPr>
          <w:t>a</w:t>
        </w:r>
        <w:r>
          <w:rPr>
            <w:color w:val="586670"/>
            <w:spacing w:val="1"/>
            <w:w w:val="81"/>
            <w:sz w:val="13"/>
          </w:rPr>
          <w:t>t</w:t>
        </w:r>
        <w:r>
          <w:rPr>
            <w:color w:val="586670"/>
            <w:spacing w:val="3"/>
            <w:w w:val="97"/>
            <w:sz w:val="13"/>
          </w:rPr>
          <w:t>e</w:t>
        </w:r>
        <w:r>
          <w:rPr>
            <w:color w:val="586670"/>
            <w:spacing w:val="2"/>
            <w:w w:val="117"/>
            <w:sz w:val="13"/>
          </w:rPr>
          <w:t>g</w:t>
        </w:r>
        <w:r>
          <w:rPr>
            <w:color w:val="586670"/>
            <w:spacing w:val="1"/>
            <w:w w:val="106"/>
            <w:sz w:val="13"/>
          </w:rPr>
          <w:t>o</w:t>
        </w:r>
        <w:r>
          <w:rPr>
            <w:color w:val="586670"/>
            <w:spacing w:val="1"/>
            <w:w w:val="104"/>
            <w:sz w:val="13"/>
          </w:rPr>
          <w:t>v</w:t>
        </w:r>
        <w:r>
          <w:rPr>
            <w:color w:val="586670"/>
            <w:spacing w:val="2"/>
            <w:w w:val="97"/>
            <w:sz w:val="13"/>
          </w:rPr>
          <w:t>e</w:t>
        </w:r>
        <w:r>
          <w:rPr>
            <w:color w:val="586670"/>
            <w:spacing w:val="3"/>
            <w:w w:val="88"/>
            <w:sz w:val="13"/>
          </w:rPr>
          <w:t>r</w:t>
        </w:r>
        <w:r>
          <w:rPr>
            <w:color w:val="586670"/>
            <w:spacing w:val="2"/>
            <w:w w:val="105"/>
            <w:sz w:val="13"/>
          </w:rPr>
          <w:t>n</w:t>
        </w:r>
        <w:r>
          <w:rPr>
            <w:color w:val="586670"/>
            <w:spacing w:val="1"/>
            <w:w w:val="98"/>
            <w:sz w:val="13"/>
          </w:rPr>
          <w:t>a</w:t>
        </w:r>
        <w:r>
          <w:rPr>
            <w:color w:val="586670"/>
            <w:spacing w:val="2"/>
            <w:w w:val="105"/>
            <w:sz w:val="13"/>
          </w:rPr>
          <w:t>n</w:t>
        </w:r>
        <w:r>
          <w:rPr>
            <w:color w:val="586670"/>
            <w:spacing w:val="3"/>
            <w:w w:val="105"/>
            <w:sz w:val="13"/>
          </w:rPr>
          <w:t>c</w:t>
        </w:r>
        <w:r>
          <w:rPr>
            <w:color w:val="586670"/>
            <w:spacing w:val="1"/>
            <w:w w:val="97"/>
            <w:sz w:val="13"/>
          </w:rPr>
          <w:t>e</w:t>
        </w:r>
        <w:r>
          <w:rPr>
            <w:color w:val="586670"/>
            <w:w w:val="76"/>
            <w:sz w:val="13"/>
          </w:rPr>
          <w:t>.</w:t>
        </w:r>
      </w:hyperlink>
    </w:p>
    <w:p>
      <w:pPr>
        <w:pStyle w:val="ListParagraph"/>
        <w:numPr>
          <w:ilvl w:val="0"/>
          <w:numId w:val="3"/>
        </w:numPr>
        <w:tabs>
          <w:tab w:pos="334" w:val="left" w:leader="none"/>
        </w:tabs>
        <w:spacing w:line="240" w:lineRule="auto" w:before="9" w:after="0"/>
        <w:ind w:left="333" w:right="0" w:hanging="227"/>
        <w:jc w:val="left"/>
        <w:rPr>
          <w:sz w:val="13"/>
        </w:rPr>
      </w:pPr>
      <w:r>
        <w:rPr>
          <w:color w:val="586670"/>
          <w:sz w:val="13"/>
        </w:rPr>
        <w:t>As</w:t>
      </w:r>
      <w:r>
        <w:rPr>
          <w:color w:val="586670"/>
          <w:spacing w:val="-7"/>
          <w:sz w:val="13"/>
        </w:rPr>
        <w:t> </w:t>
      </w:r>
      <w:r>
        <w:rPr>
          <w:color w:val="586670"/>
          <w:sz w:val="13"/>
        </w:rPr>
        <w:t>from</w:t>
      </w:r>
      <w:r>
        <w:rPr>
          <w:color w:val="586670"/>
          <w:spacing w:val="-6"/>
          <w:sz w:val="13"/>
        </w:rPr>
        <w:t> </w:t>
      </w:r>
      <w:r>
        <w:rPr>
          <w:color w:val="586670"/>
          <w:sz w:val="13"/>
        </w:rPr>
        <w:t>2014,</w:t>
      </w:r>
      <w:r>
        <w:rPr>
          <w:color w:val="586670"/>
          <w:spacing w:val="-6"/>
          <w:sz w:val="13"/>
        </w:rPr>
        <w:t> </w:t>
      </w:r>
      <w:r>
        <w:rPr>
          <w:color w:val="586670"/>
          <w:sz w:val="13"/>
        </w:rPr>
        <w:t>all</w:t>
      </w:r>
      <w:r>
        <w:rPr>
          <w:color w:val="586670"/>
          <w:spacing w:val="-6"/>
          <w:sz w:val="13"/>
        </w:rPr>
        <w:t> </w:t>
      </w:r>
      <w:r>
        <w:rPr>
          <w:color w:val="586670"/>
          <w:sz w:val="13"/>
        </w:rPr>
        <w:t>Board</w:t>
      </w:r>
      <w:r>
        <w:rPr>
          <w:color w:val="586670"/>
          <w:spacing w:val="-6"/>
          <w:sz w:val="13"/>
        </w:rPr>
        <w:t> </w:t>
      </w:r>
      <w:r>
        <w:rPr>
          <w:color w:val="586670"/>
          <w:sz w:val="13"/>
        </w:rPr>
        <w:t>members</w:t>
      </w:r>
      <w:r>
        <w:rPr>
          <w:color w:val="586670"/>
          <w:spacing w:val="-6"/>
          <w:sz w:val="13"/>
        </w:rPr>
        <w:t> </w:t>
      </w:r>
      <w:r>
        <w:rPr>
          <w:color w:val="586670"/>
          <w:sz w:val="13"/>
        </w:rPr>
        <w:t>will</w:t>
      </w:r>
      <w:r>
        <w:rPr>
          <w:color w:val="586670"/>
          <w:spacing w:val="-6"/>
          <w:sz w:val="13"/>
        </w:rPr>
        <w:t> </w:t>
      </w:r>
      <w:r>
        <w:rPr>
          <w:color w:val="586670"/>
          <w:sz w:val="13"/>
        </w:rPr>
        <w:t>be</w:t>
      </w:r>
      <w:r>
        <w:rPr>
          <w:color w:val="586670"/>
          <w:spacing w:val="-6"/>
          <w:sz w:val="13"/>
        </w:rPr>
        <w:t> </w:t>
      </w:r>
      <w:r>
        <w:rPr>
          <w:color w:val="586670"/>
          <w:sz w:val="13"/>
        </w:rPr>
        <w:t>elected</w:t>
      </w:r>
      <w:r>
        <w:rPr>
          <w:color w:val="586670"/>
          <w:spacing w:val="-6"/>
          <w:sz w:val="13"/>
        </w:rPr>
        <w:t> </w:t>
      </w:r>
      <w:r>
        <w:rPr>
          <w:color w:val="586670"/>
          <w:sz w:val="13"/>
        </w:rPr>
        <w:t>annually</w:t>
      </w:r>
      <w:r>
        <w:rPr>
          <w:color w:val="586670"/>
          <w:spacing w:val="-6"/>
          <w:sz w:val="13"/>
        </w:rPr>
        <w:t> </w:t>
      </w:r>
      <w:r>
        <w:rPr>
          <w:color w:val="586670"/>
          <w:sz w:val="13"/>
        </w:rPr>
        <w:t>in</w:t>
      </w:r>
      <w:r>
        <w:rPr>
          <w:color w:val="586670"/>
          <w:spacing w:val="-6"/>
          <w:sz w:val="13"/>
        </w:rPr>
        <w:t> </w:t>
      </w:r>
      <w:r>
        <w:rPr>
          <w:color w:val="586670"/>
          <w:spacing w:val="2"/>
          <w:sz w:val="13"/>
        </w:rPr>
        <w:t>accordance</w:t>
      </w:r>
      <w:r>
        <w:rPr>
          <w:color w:val="586670"/>
          <w:spacing w:val="-6"/>
          <w:sz w:val="13"/>
        </w:rPr>
        <w:t> </w:t>
      </w:r>
      <w:r>
        <w:rPr>
          <w:color w:val="586670"/>
          <w:sz w:val="13"/>
        </w:rPr>
        <w:t>with</w:t>
      </w:r>
      <w:r>
        <w:rPr>
          <w:color w:val="586670"/>
          <w:spacing w:val="-6"/>
          <w:sz w:val="13"/>
        </w:rPr>
        <w:t> </w:t>
      </w:r>
      <w:r>
        <w:rPr>
          <w:color w:val="586670"/>
          <w:sz w:val="13"/>
        </w:rPr>
        <w:t>the</w:t>
      </w:r>
      <w:r>
        <w:rPr>
          <w:color w:val="586670"/>
          <w:spacing w:val="-7"/>
          <w:sz w:val="13"/>
        </w:rPr>
        <w:t> </w:t>
      </w:r>
      <w:r>
        <w:rPr>
          <w:color w:val="586670"/>
          <w:sz w:val="13"/>
        </w:rPr>
        <w:t>revised</w:t>
      </w:r>
      <w:r>
        <w:rPr>
          <w:color w:val="586670"/>
          <w:spacing w:val="-6"/>
          <w:sz w:val="13"/>
        </w:rPr>
        <w:t> </w:t>
      </w:r>
      <w:r>
        <w:rPr>
          <w:color w:val="586670"/>
          <w:sz w:val="13"/>
        </w:rPr>
        <w:t>Swiss</w:t>
      </w:r>
      <w:r>
        <w:rPr>
          <w:color w:val="586670"/>
          <w:spacing w:val="-6"/>
          <w:sz w:val="13"/>
        </w:rPr>
        <w:t> </w:t>
      </w:r>
      <w:r>
        <w:rPr>
          <w:color w:val="586670"/>
          <w:sz w:val="13"/>
        </w:rPr>
        <w:t>Corporate</w:t>
      </w:r>
      <w:r>
        <w:rPr>
          <w:color w:val="586670"/>
          <w:spacing w:val="-6"/>
          <w:sz w:val="13"/>
        </w:rPr>
        <w:t> </w:t>
      </w:r>
      <w:r>
        <w:rPr>
          <w:color w:val="586670"/>
          <w:sz w:val="13"/>
        </w:rPr>
        <w:t>law.</w:t>
      </w:r>
    </w:p>
    <w:p>
      <w:pPr>
        <w:pStyle w:val="BodyText"/>
        <w:rPr>
          <w:sz w:val="22"/>
        </w:rPr>
      </w:pPr>
    </w:p>
    <w:p>
      <w:pPr>
        <w:spacing w:after="0"/>
        <w:rPr>
          <w:sz w:val="22"/>
        </w:rPr>
        <w:sectPr>
          <w:headerReference w:type="even" r:id="rId33"/>
          <w:pgSz w:w="11910" w:h="14750"/>
          <w:pgMar w:header="0" w:footer="509" w:top="980" w:bottom="700" w:left="460" w:right="460"/>
        </w:sectPr>
      </w:pPr>
    </w:p>
    <w:p>
      <w:pPr>
        <w:pStyle w:val="ListParagraph"/>
        <w:numPr>
          <w:ilvl w:val="2"/>
          <w:numId w:val="4"/>
        </w:numPr>
        <w:tabs>
          <w:tab w:pos="561" w:val="left" w:leader="none"/>
        </w:tabs>
        <w:spacing w:line="276" w:lineRule="auto" w:before="106" w:after="0"/>
        <w:ind w:left="560" w:right="545" w:hanging="454"/>
        <w:jc w:val="left"/>
        <w:rPr>
          <w:sz w:val="18"/>
        </w:rPr>
      </w:pPr>
      <w:r>
        <w:rPr>
          <w:color w:val="586670"/>
          <w:sz w:val="18"/>
        </w:rPr>
        <w:t>Management tasks of the members of the Board  of</w:t>
      </w:r>
      <w:r>
        <w:rPr>
          <w:color w:val="586670"/>
          <w:spacing w:val="-8"/>
          <w:sz w:val="18"/>
        </w:rPr>
        <w:t> </w:t>
      </w:r>
      <w:r>
        <w:rPr>
          <w:color w:val="586670"/>
          <w:sz w:val="18"/>
        </w:rPr>
        <w:t>Directors</w:t>
      </w:r>
    </w:p>
    <w:p>
      <w:pPr>
        <w:pStyle w:val="BodyText"/>
        <w:spacing w:line="276" w:lineRule="auto"/>
        <w:ind w:left="106" w:right="20"/>
      </w:pPr>
      <w:r>
        <w:rPr>
          <w:color w:val="231F20"/>
        </w:rPr>
        <w:t>With the exception of Paul Bulcke, all members of the Board of Directors are non-executive members. Peter Brabeck- Letmathe is active Chairman and has certain responsibilities for the direction and control of the Group including Nestlé Health Science and Nestlé’s engagements with L’Oréal, Galderma and Laboratoires innéov.</w:t>
      </w:r>
    </w:p>
    <w:p>
      <w:pPr>
        <w:pStyle w:val="ListParagraph"/>
        <w:numPr>
          <w:ilvl w:val="2"/>
          <w:numId w:val="4"/>
        </w:numPr>
        <w:tabs>
          <w:tab w:pos="561" w:val="left" w:leader="none"/>
        </w:tabs>
        <w:spacing w:line="276" w:lineRule="auto" w:before="106" w:after="0"/>
        <w:ind w:left="560" w:right="782" w:hanging="454"/>
        <w:jc w:val="left"/>
        <w:rPr>
          <w:sz w:val="18"/>
        </w:rPr>
      </w:pPr>
      <w:r>
        <w:rPr>
          <w:color w:val="586670"/>
          <w:spacing w:val="-1"/>
          <w:w w:val="101"/>
          <w:sz w:val="18"/>
        </w:rPr>
        <w:br w:type="column"/>
      </w:r>
      <w:r>
        <w:rPr>
          <w:color w:val="586670"/>
          <w:sz w:val="18"/>
        </w:rPr>
        <w:t>Information on non-executive members of the Board of</w:t>
      </w:r>
      <w:r>
        <w:rPr>
          <w:color w:val="586670"/>
          <w:spacing w:val="-8"/>
          <w:sz w:val="18"/>
        </w:rPr>
        <w:t> </w:t>
      </w:r>
      <w:r>
        <w:rPr>
          <w:color w:val="586670"/>
          <w:sz w:val="18"/>
        </w:rPr>
        <w:t>Directors</w:t>
      </w:r>
    </w:p>
    <w:p>
      <w:pPr>
        <w:pStyle w:val="BodyText"/>
        <w:spacing w:line="276" w:lineRule="auto"/>
        <w:ind w:left="106" w:right="684"/>
      </w:pPr>
      <w:r>
        <w:rPr>
          <w:color w:val="231F20"/>
        </w:rPr>
        <w:t>With the exception of Peter Brabeck-Letmathe, all non- executive members of the Board of Directors are independent, were not previously members of the Nestlé management and have no important business connections with Nestlé.</w:t>
      </w:r>
    </w:p>
    <w:p>
      <w:pPr>
        <w:pStyle w:val="BodyText"/>
        <w:spacing w:before="6"/>
        <w:rPr>
          <w:sz w:val="20"/>
        </w:rPr>
      </w:pPr>
    </w:p>
    <w:p>
      <w:pPr>
        <w:pStyle w:val="ListParagraph"/>
        <w:numPr>
          <w:ilvl w:val="2"/>
          <w:numId w:val="4"/>
        </w:numPr>
        <w:tabs>
          <w:tab w:pos="561" w:val="left" w:leader="none"/>
        </w:tabs>
        <w:spacing w:line="240" w:lineRule="auto" w:before="0" w:after="0"/>
        <w:ind w:left="560" w:right="0" w:hanging="454"/>
        <w:jc w:val="left"/>
        <w:rPr>
          <w:sz w:val="18"/>
        </w:rPr>
      </w:pPr>
      <w:r>
        <w:rPr>
          <w:color w:val="586670"/>
          <w:w w:val="105"/>
          <w:sz w:val="18"/>
        </w:rPr>
        <w:t>Cross-involvement</w:t>
      </w:r>
    </w:p>
    <w:p>
      <w:pPr>
        <w:pStyle w:val="BodyText"/>
        <w:spacing w:line="276" w:lineRule="auto" w:before="31"/>
        <w:ind w:left="106" w:right="595"/>
      </w:pPr>
      <w:r>
        <w:rPr>
          <w:color w:val="231F20"/>
        </w:rPr>
        <w:t>Peter Brabeck-Letmathe, Paul Bulcke and Jean-Pierre Meyers are on the Board of Directors of both Nestlé and L’Oréal.</w:t>
      </w:r>
    </w:p>
    <w:p>
      <w:pPr>
        <w:spacing w:after="0" w:line="276" w:lineRule="auto"/>
        <w:sectPr>
          <w:type w:val="continuous"/>
          <w:pgSz w:w="11910" w:h="14750"/>
          <w:pgMar w:top="540" w:bottom="280" w:left="460" w:right="460"/>
          <w:cols w:num="2" w:equalWidth="0">
            <w:col w:w="5188" w:space="85"/>
            <w:col w:w="5717"/>
          </w:cols>
        </w:sectPr>
      </w:pPr>
    </w:p>
    <w:p>
      <w:pPr>
        <w:pStyle w:val="BodyText"/>
        <w:rPr>
          <w:sz w:val="20"/>
        </w:rPr>
      </w:pPr>
    </w:p>
    <w:p>
      <w:pPr>
        <w:pStyle w:val="BodyText"/>
        <w:rPr>
          <w:sz w:val="20"/>
        </w:rPr>
      </w:pPr>
    </w:p>
    <w:p>
      <w:pPr>
        <w:pStyle w:val="BodyText"/>
        <w:spacing w:before="9"/>
        <w:rPr>
          <w:sz w:val="15"/>
        </w:rPr>
      </w:pPr>
    </w:p>
    <w:p>
      <w:pPr>
        <w:spacing w:after="0"/>
        <w:rPr>
          <w:sz w:val="15"/>
        </w:rPr>
        <w:sectPr>
          <w:headerReference w:type="default" r:id="rId34"/>
          <w:headerReference w:type="even" r:id="rId35"/>
          <w:footerReference w:type="default" r:id="rId36"/>
          <w:footerReference w:type="even" r:id="rId37"/>
          <w:pgSz w:w="11910" w:h="14750"/>
          <w:pgMar w:header="642" w:footer="509" w:top="840" w:bottom="700" w:left="460" w:right="460"/>
          <w:pgNumType w:start="17"/>
        </w:sectPr>
      </w:pPr>
    </w:p>
    <w:p>
      <w:pPr>
        <w:pStyle w:val="Heading3"/>
        <w:numPr>
          <w:ilvl w:val="1"/>
          <w:numId w:val="5"/>
        </w:numPr>
        <w:tabs>
          <w:tab w:pos="1014" w:val="left" w:leader="none"/>
        </w:tabs>
        <w:spacing w:line="276" w:lineRule="auto" w:before="108" w:after="0"/>
        <w:ind w:left="1014" w:right="468" w:hanging="454"/>
        <w:jc w:val="left"/>
      </w:pPr>
      <w:r>
        <w:rPr>
          <w:color w:val="586670"/>
          <w:w w:val="110"/>
        </w:rPr>
        <w:t>Professional background and other</w:t>
      </w:r>
      <w:r>
        <w:rPr>
          <w:color w:val="586670"/>
          <w:spacing w:val="-24"/>
          <w:w w:val="110"/>
        </w:rPr>
        <w:t> </w:t>
      </w:r>
      <w:r>
        <w:rPr>
          <w:color w:val="586670"/>
          <w:w w:val="110"/>
        </w:rPr>
        <w:t>activities and</w:t>
      </w:r>
      <w:r>
        <w:rPr>
          <w:color w:val="586670"/>
          <w:spacing w:val="-8"/>
          <w:w w:val="110"/>
        </w:rPr>
        <w:t> </w:t>
      </w:r>
      <w:r>
        <w:rPr>
          <w:color w:val="586670"/>
          <w:w w:val="110"/>
        </w:rPr>
        <w:t>functions</w:t>
      </w:r>
    </w:p>
    <w:p>
      <w:pPr>
        <w:pStyle w:val="BodyText"/>
        <w:rPr>
          <w:b/>
          <w:sz w:val="22"/>
        </w:rPr>
      </w:pPr>
    </w:p>
    <w:p>
      <w:pPr>
        <w:pStyle w:val="BodyText"/>
        <w:spacing w:before="3"/>
        <w:rPr>
          <w:b/>
          <w:sz w:val="19"/>
        </w:rPr>
      </w:pPr>
    </w:p>
    <w:p>
      <w:pPr>
        <w:spacing w:line="276" w:lineRule="auto" w:before="0"/>
        <w:ind w:left="560" w:right="2233" w:firstLine="0"/>
        <w:jc w:val="left"/>
        <w:rPr>
          <w:b/>
          <w:sz w:val="18"/>
        </w:rPr>
      </w:pPr>
      <w:r>
        <w:rPr/>
        <w:drawing>
          <wp:anchor distT="0" distB="0" distL="0" distR="0" allowOverlap="1" layoutInCell="1" locked="0" behindDoc="0" simplePos="0" relativeHeight="1576">
            <wp:simplePos x="0" y="0"/>
            <wp:positionH relativeFrom="page">
              <wp:posOffset>2879991</wp:posOffset>
            </wp:positionH>
            <wp:positionV relativeFrom="paragraph">
              <wp:posOffset>107311</wp:posOffset>
            </wp:positionV>
            <wp:extent cx="972007" cy="914412"/>
            <wp:effectExtent l="0" t="0" r="0" b="0"/>
            <wp:wrapNone/>
            <wp:docPr id="3" name="image17.png" descr=""/>
            <wp:cNvGraphicFramePr>
              <a:graphicFrameLocks noChangeAspect="1"/>
            </wp:cNvGraphicFramePr>
            <a:graphic>
              <a:graphicData uri="http://schemas.openxmlformats.org/drawingml/2006/picture">
                <pic:pic>
                  <pic:nvPicPr>
                    <pic:cNvPr id="4" name="image17.png"/>
                    <pic:cNvPicPr/>
                  </pic:nvPicPr>
                  <pic:blipFill>
                    <a:blip r:embed="rId38" cstate="print"/>
                    <a:stretch>
                      <a:fillRect/>
                    </a:stretch>
                  </pic:blipFill>
                  <pic:spPr>
                    <a:xfrm>
                      <a:off x="0" y="0"/>
                      <a:ext cx="972007" cy="914412"/>
                    </a:xfrm>
                    <a:prstGeom prst="rect">
                      <a:avLst/>
                    </a:prstGeom>
                  </pic:spPr>
                </pic:pic>
              </a:graphicData>
            </a:graphic>
          </wp:anchor>
        </w:drawing>
      </w:r>
      <w:r>
        <w:rPr>
          <w:b/>
          <w:color w:val="231F20"/>
          <w:w w:val="105"/>
          <w:sz w:val="18"/>
        </w:rPr>
        <w:t>Peter Brabeck-Letmathe </w:t>
      </w:r>
      <w:r>
        <w:rPr>
          <w:b/>
          <w:color w:val="586670"/>
          <w:w w:val="105"/>
          <w:sz w:val="18"/>
        </w:rPr>
        <w:t>Chairman</w:t>
      </w:r>
    </w:p>
    <w:p>
      <w:pPr>
        <w:pStyle w:val="BodyText"/>
        <w:spacing w:line="276" w:lineRule="auto"/>
        <w:ind w:left="560" w:right="1945"/>
      </w:pPr>
      <w:r>
        <w:rPr>
          <w:color w:val="231F20"/>
        </w:rPr>
        <w:t>Peter Brabeck-Letmathe joined the Nestlé Group’s operating company as a salesman in Austria in</w:t>
      </w:r>
      <w:r>
        <w:rPr>
          <w:color w:val="231F20"/>
          <w:spacing w:val="12"/>
        </w:rPr>
        <w:t> </w:t>
      </w:r>
      <w:r>
        <w:rPr>
          <w:color w:val="231F20"/>
        </w:rPr>
        <w:t>1968.</w:t>
      </w:r>
    </w:p>
    <w:p>
      <w:pPr>
        <w:pStyle w:val="BodyText"/>
        <w:spacing w:line="276" w:lineRule="auto"/>
        <w:ind w:left="560" w:right="2233"/>
      </w:pPr>
      <w:r>
        <w:rPr>
          <w:color w:val="231F20"/>
        </w:rPr>
        <w:t>Between </w:t>
      </w:r>
      <w:r>
        <w:rPr>
          <w:color w:val="231F20"/>
          <w:spacing w:val="-5"/>
        </w:rPr>
        <w:t>1970  </w:t>
      </w:r>
      <w:r>
        <w:rPr>
          <w:color w:val="231F20"/>
        </w:rPr>
        <w:t>and </w:t>
      </w:r>
      <w:r>
        <w:rPr>
          <w:color w:val="231F20"/>
          <w:spacing w:val="-6"/>
        </w:rPr>
        <w:t>1987,  </w:t>
      </w:r>
      <w:r>
        <w:rPr>
          <w:color w:val="231F20"/>
        </w:rPr>
        <w:t>he held a series of responsibilities in</w:t>
      </w:r>
      <w:r>
        <w:rPr>
          <w:color w:val="231F20"/>
          <w:spacing w:val="31"/>
        </w:rPr>
        <w:t> </w:t>
      </w:r>
      <w:r>
        <w:rPr>
          <w:color w:val="231F20"/>
        </w:rPr>
        <w:t>Latin</w:t>
      </w:r>
    </w:p>
    <w:p>
      <w:pPr>
        <w:pStyle w:val="BodyText"/>
        <w:spacing w:line="208" w:lineRule="exact"/>
        <w:ind w:left="560"/>
      </w:pPr>
      <w:r>
        <w:rPr>
          <w:color w:val="231F20"/>
        </w:rPr>
        <w:t>America. In 1987, he was transferred to</w:t>
      </w:r>
    </w:p>
    <w:p>
      <w:pPr>
        <w:pStyle w:val="BodyText"/>
        <w:spacing w:line="276" w:lineRule="auto" w:before="30"/>
        <w:ind w:left="560" w:right="187"/>
      </w:pPr>
      <w:r>
        <w:rPr>
          <w:color w:val="231F20"/>
        </w:rPr>
        <w:t>Nestlé’s International Headquarters in </w:t>
      </w:r>
      <w:r>
        <w:rPr>
          <w:color w:val="231F20"/>
          <w:spacing w:val="-4"/>
        </w:rPr>
        <w:t>Vevey,  </w:t>
      </w:r>
      <w:r>
        <w:rPr>
          <w:color w:val="231F20"/>
        </w:rPr>
        <w:t>Switzerland, as Vice President and was named Executive Vice President  in 1992. At the Annual General Meeting of Shareholders in June </w:t>
      </w:r>
      <w:r>
        <w:rPr>
          <w:color w:val="231F20"/>
          <w:spacing w:val="-8"/>
        </w:rPr>
        <w:t>1997, </w:t>
      </w:r>
      <w:r>
        <w:rPr>
          <w:color w:val="231F20"/>
        </w:rPr>
        <w:t>Peter Brabeck-Letmathe was elected member of the Board of Nestlé S.A. In </w:t>
      </w:r>
      <w:r>
        <w:rPr>
          <w:color w:val="231F20"/>
          <w:spacing w:val="-6"/>
        </w:rPr>
        <w:t>1997, </w:t>
      </w:r>
      <w:r>
        <w:rPr>
          <w:color w:val="231F20"/>
        </w:rPr>
        <w:t>the Board of Directors of Nestlé S.A. appointed him Chief Executive </w:t>
      </w:r>
      <w:r>
        <w:rPr>
          <w:color w:val="231F20"/>
          <w:spacing w:val="2"/>
        </w:rPr>
        <w:t>Officer</w:t>
      </w:r>
      <w:r>
        <w:rPr>
          <w:color w:val="231F20"/>
          <w:spacing w:val="51"/>
        </w:rPr>
        <w:t> </w:t>
      </w:r>
      <w:r>
        <w:rPr>
          <w:color w:val="231F20"/>
          <w:spacing w:val="-3"/>
        </w:rPr>
        <w:t>(CEO).</w:t>
      </w:r>
    </w:p>
    <w:p>
      <w:pPr>
        <w:pStyle w:val="BodyText"/>
        <w:spacing w:line="276" w:lineRule="auto"/>
        <w:ind w:left="560" w:right="187"/>
      </w:pPr>
      <w:r>
        <w:rPr>
          <w:color w:val="231F20"/>
        </w:rPr>
        <w:t>In 2001, he was elected Vice Chairman and in 2005 Chairman of the Board of Directors. As of 10 April 2008, Peter Brabeck-Letmathe relinquished his function as CEO remaining Chairman of the Board of Directors.</w:t>
      </w:r>
    </w:p>
    <w:p>
      <w:pPr>
        <w:pStyle w:val="BodyText"/>
        <w:spacing w:line="276" w:lineRule="auto"/>
        <w:ind w:left="560" w:right="187" w:firstLine="226"/>
      </w:pPr>
      <w:r>
        <w:rPr>
          <w:color w:val="231F20"/>
        </w:rPr>
        <w:t>As a Nestlé S.A. representative, he serves as Vice Chairman of L’Oréal S.A., France.</w:t>
      </w:r>
    </w:p>
    <w:p>
      <w:pPr>
        <w:pStyle w:val="BodyText"/>
        <w:spacing w:line="276" w:lineRule="auto"/>
        <w:ind w:left="560" w:right="83" w:firstLine="226"/>
      </w:pPr>
      <w:r>
        <w:rPr>
          <w:color w:val="231F20"/>
        </w:rPr>
        <w:t>Peter Brabeck-Letmathe is also Chairman of Delta Topco, Jersey, Vice Chairman of the Board of Directors of Credit Suisse Group, Switzerland, and member of the Board of Exxon Mobil Corporation, </w:t>
      </w:r>
      <w:r>
        <w:rPr>
          <w:color w:val="231F20"/>
          <w:spacing w:val="-3"/>
        </w:rPr>
        <w:t>Texas,</w:t>
      </w:r>
      <w:r>
        <w:rPr>
          <w:color w:val="231F20"/>
          <w:spacing w:val="6"/>
        </w:rPr>
        <w:t> </w:t>
      </w:r>
      <w:r>
        <w:rPr>
          <w:color w:val="231F20"/>
        </w:rPr>
        <w:t>USA.</w:t>
      </w:r>
    </w:p>
    <w:p>
      <w:pPr>
        <w:pStyle w:val="BodyText"/>
        <w:spacing w:line="276" w:lineRule="auto"/>
        <w:ind w:left="560" w:right="21" w:firstLine="226"/>
      </w:pPr>
      <w:r>
        <w:rPr>
          <w:color w:val="231F20"/>
          <w:w w:val="105"/>
        </w:rPr>
        <w:t>He</w:t>
      </w:r>
      <w:r>
        <w:rPr>
          <w:color w:val="231F20"/>
          <w:spacing w:val="-12"/>
          <w:w w:val="105"/>
        </w:rPr>
        <w:t> </w:t>
      </w:r>
      <w:r>
        <w:rPr>
          <w:color w:val="231F20"/>
          <w:w w:val="105"/>
        </w:rPr>
        <w:t>also</w:t>
      </w:r>
      <w:r>
        <w:rPr>
          <w:color w:val="231F20"/>
          <w:spacing w:val="-12"/>
          <w:w w:val="105"/>
        </w:rPr>
        <w:t> </w:t>
      </w:r>
      <w:r>
        <w:rPr>
          <w:color w:val="231F20"/>
          <w:w w:val="105"/>
        </w:rPr>
        <w:t>represents</w:t>
      </w:r>
      <w:r>
        <w:rPr>
          <w:color w:val="231F20"/>
          <w:spacing w:val="-12"/>
          <w:w w:val="105"/>
        </w:rPr>
        <w:t> </w:t>
      </w:r>
      <w:r>
        <w:rPr>
          <w:color w:val="231F20"/>
          <w:w w:val="105"/>
        </w:rPr>
        <w:t>Nestlé</w:t>
      </w:r>
      <w:r>
        <w:rPr>
          <w:color w:val="231F20"/>
          <w:spacing w:val="-12"/>
          <w:w w:val="105"/>
        </w:rPr>
        <w:t> </w:t>
      </w:r>
      <w:r>
        <w:rPr>
          <w:color w:val="231F20"/>
          <w:w w:val="105"/>
        </w:rPr>
        <w:t>at</w:t>
      </w:r>
      <w:r>
        <w:rPr>
          <w:color w:val="231F20"/>
          <w:spacing w:val="-12"/>
          <w:w w:val="105"/>
        </w:rPr>
        <w:t> </w:t>
      </w:r>
      <w:r>
        <w:rPr>
          <w:color w:val="231F20"/>
          <w:w w:val="105"/>
        </w:rPr>
        <w:t>the</w:t>
      </w:r>
      <w:r>
        <w:rPr>
          <w:color w:val="231F20"/>
          <w:spacing w:val="-12"/>
          <w:w w:val="105"/>
        </w:rPr>
        <w:t> </w:t>
      </w:r>
      <w:r>
        <w:rPr>
          <w:color w:val="231F20"/>
          <w:w w:val="105"/>
        </w:rPr>
        <w:t>Foundation</w:t>
      </w:r>
      <w:r>
        <w:rPr>
          <w:color w:val="231F20"/>
          <w:spacing w:val="-12"/>
          <w:w w:val="105"/>
        </w:rPr>
        <w:t> </w:t>
      </w:r>
      <w:r>
        <w:rPr>
          <w:color w:val="231F20"/>
          <w:w w:val="105"/>
        </w:rPr>
        <w:t>Board</w:t>
      </w:r>
      <w:r>
        <w:rPr>
          <w:color w:val="231F20"/>
          <w:spacing w:val="-12"/>
          <w:w w:val="105"/>
        </w:rPr>
        <w:t> </w:t>
      </w:r>
      <w:r>
        <w:rPr>
          <w:color w:val="231F20"/>
          <w:w w:val="105"/>
        </w:rPr>
        <w:t>of</w:t>
      </w:r>
      <w:r>
        <w:rPr>
          <w:color w:val="231F20"/>
          <w:spacing w:val="-11"/>
          <w:w w:val="105"/>
        </w:rPr>
        <w:t> </w:t>
      </w:r>
      <w:r>
        <w:rPr>
          <w:color w:val="231F20"/>
          <w:w w:val="105"/>
        </w:rPr>
        <w:t>the World Economic Forum (WEF) and on behalf of Nestlé chairs the Water Resource Group 2030 (WRG). In addition, </w:t>
      </w:r>
      <w:r>
        <w:rPr>
          <w:color w:val="231F20"/>
          <w:spacing w:val="1"/>
          <w:w w:val="108"/>
        </w:rPr>
        <w:t>h</w:t>
      </w:r>
      <w:r>
        <w:rPr>
          <w:color w:val="231F20"/>
          <w:w w:val="100"/>
        </w:rPr>
        <w:t>e</w:t>
      </w:r>
      <w:r>
        <w:rPr>
          <w:color w:val="231F20"/>
          <w:spacing w:val="-3"/>
        </w:rPr>
        <w:t> </w:t>
      </w:r>
      <w:r>
        <w:rPr>
          <w:color w:val="231F20"/>
          <w:w w:val="83"/>
        </w:rPr>
        <w:t>i</w:t>
      </w:r>
      <w:r>
        <w:rPr>
          <w:color w:val="231F20"/>
          <w:w w:val="121"/>
        </w:rPr>
        <w:t>s</w:t>
      </w:r>
      <w:r>
        <w:rPr>
          <w:color w:val="231F20"/>
          <w:spacing w:val="-3"/>
        </w:rPr>
        <w:t> </w:t>
      </w:r>
      <w:r>
        <w:rPr>
          <w:color w:val="231F20"/>
          <w:w w:val="101"/>
        </w:rPr>
        <w:t>a</w:t>
      </w:r>
      <w:r>
        <w:rPr>
          <w:color w:val="231F20"/>
          <w:spacing w:val="-3"/>
        </w:rPr>
        <w:t> </w:t>
      </w:r>
      <w:r>
        <w:rPr>
          <w:color w:val="231F20"/>
          <w:spacing w:val="1"/>
          <w:w w:val="110"/>
        </w:rPr>
        <w:t>m</w:t>
      </w:r>
      <w:r>
        <w:rPr>
          <w:color w:val="231F20"/>
          <w:spacing w:val="1"/>
          <w:w w:val="100"/>
        </w:rPr>
        <w:t>e</w:t>
      </w:r>
      <w:r>
        <w:rPr>
          <w:color w:val="231F20"/>
          <w:spacing w:val="-1"/>
          <w:w w:val="110"/>
        </w:rPr>
        <w:t>m</w:t>
      </w:r>
      <w:r>
        <w:rPr>
          <w:color w:val="231F20"/>
          <w:spacing w:val="2"/>
          <w:w w:val="107"/>
        </w:rPr>
        <w:t>b</w:t>
      </w:r>
      <w:r>
        <w:rPr>
          <w:color w:val="231F20"/>
          <w:spacing w:val="1"/>
          <w:w w:val="100"/>
        </w:rPr>
        <w:t>e</w:t>
      </w:r>
      <w:r>
        <w:rPr>
          <w:color w:val="231F20"/>
          <w:w w:val="90"/>
        </w:rPr>
        <w:t>r</w:t>
      </w:r>
      <w:r>
        <w:rPr>
          <w:color w:val="231F20"/>
          <w:spacing w:val="-3"/>
        </w:rPr>
        <w:t> </w:t>
      </w:r>
      <w:r>
        <w:rPr>
          <w:color w:val="231F20"/>
          <w:spacing w:val="-1"/>
          <w:w w:val="109"/>
        </w:rPr>
        <w:t>o</w:t>
      </w:r>
      <w:r>
        <w:rPr>
          <w:color w:val="231F20"/>
          <w:w w:val="88"/>
        </w:rPr>
        <w:t>f</w:t>
      </w:r>
      <w:r>
        <w:rPr>
          <w:color w:val="231F20"/>
          <w:spacing w:val="-3"/>
        </w:rPr>
        <w:t> </w:t>
      </w:r>
      <w:r>
        <w:rPr>
          <w:color w:val="231F20"/>
          <w:w w:val="83"/>
        </w:rPr>
        <w:t>t</w:t>
      </w:r>
      <w:r>
        <w:rPr>
          <w:color w:val="231F20"/>
          <w:spacing w:val="1"/>
          <w:w w:val="108"/>
        </w:rPr>
        <w:t>h</w:t>
      </w:r>
      <w:r>
        <w:rPr>
          <w:color w:val="231F20"/>
          <w:w w:val="100"/>
        </w:rPr>
        <w:t>e</w:t>
      </w:r>
      <w:r>
        <w:rPr>
          <w:color w:val="231F20"/>
          <w:spacing w:val="-3"/>
        </w:rPr>
        <w:t> </w:t>
      </w:r>
      <w:r>
        <w:rPr>
          <w:color w:val="231F20"/>
          <w:spacing w:val="-3"/>
          <w:w w:val="115"/>
        </w:rPr>
        <w:t>E</w:t>
      </w:r>
      <w:r>
        <w:rPr>
          <w:color w:val="231F20"/>
          <w:w w:val="108"/>
        </w:rPr>
        <w:t>u</w:t>
      </w:r>
      <w:r>
        <w:rPr>
          <w:color w:val="231F20"/>
          <w:w w:val="90"/>
        </w:rPr>
        <w:t>r</w:t>
      </w:r>
      <w:r>
        <w:rPr>
          <w:color w:val="231F20"/>
          <w:spacing w:val="1"/>
          <w:w w:val="109"/>
        </w:rPr>
        <w:t>o</w:t>
      </w:r>
      <w:r>
        <w:rPr>
          <w:color w:val="231F20"/>
          <w:spacing w:val="2"/>
          <w:w w:val="107"/>
        </w:rPr>
        <w:t>p</w:t>
      </w:r>
      <w:r>
        <w:rPr>
          <w:color w:val="231F20"/>
          <w:spacing w:val="3"/>
          <w:w w:val="100"/>
        </w:rPr>
        <w:t>e</w:t>
      </w:r>
      <w:r>
        <w:rPr>
          <w:color w:val="231F20"/>
          <w:spacing w:val="-1"/>
          <w:w w:val="101"/>
        </w:rPr>
        <w:t>a</w:t>
      </w:r>
      <w:r>
        <w:rPr>
          <w:color w:val="231F20"/>
          <w:spacing w:val="3"/>
          <w:w w:val="108"/>
        </w:rPr>
        <w:t>n</w:t>
      </w:r>
      <w:r>
        <w:rPr>
          <w:color w:val="231F20"/>
          <w:spacing w:val="2"/>
          <w:w w:val="57"/>
        </w:rPr>
        <w:t>/</w:t>
      </w:r>
      <w:r>
        <w:rPr>
          <w:color w:val="231F20"/>
          <w:w w:val="116"/>
        </w:rPr>
        <w:t>H</w:t>
      </w:r>
      <w:r>
        <w:rPr>
          <w:color w:val="231F20"/>
          <w:spacing w:val="1"/>
          <w:w w:val="109"/>
        </w:rPr>
        <w:t>o</w:t>
      </w:r>
      <w:r>
        <w:rPr>
          <w:color w:val="231F20"/>
          <w:w w:val="108"/>
        </w:rPr>
        <w:t>n</w:t>
      </w:r>
      <w:r>
        <w:rPr>
          <w:color w:val="231F20"/>
          <w:w w:val="120"/>
        </w:rPr>
        <w:t>g</w:t>
      </w:r>
      <w:r>
        <w:rPr>
          <w:color w:val="231F20"/>
          <w:spacing w:val="-3"/>
        </w:rPr>
        <w:t> </w:t>
      </w:r>
      <w:r>
        <w:rPr>
          <w:color w:val="231F20"/>
          <w:spacing w:val="-3"/>
          <w:w w:val="110"/>
        </w:rPr>
        <w:t>K</w:t>
      </w:r>
      <w:r>
        <w:rPr>
          <w:color w:val="231F20"/>
          <w:spacing w:val="1"/>
          <w:w w:val="109"/>
        </w:rPr>
        <w:t>o</w:t>
      </w:r>
      <w:r>
        <w:rPr>
          <w:color w:val="231F20"/>
          <w:w w:val="108"/>
        </w:rPr>
        <w:t>n</w:t>
      </w:r>
      <w:r>
        <w:rPr>
          <w:color w:val="231F20"/>
          <w:w w:val="120"/>
        </w:rPr>
        <w:t>g</w:t>
      </w:r>
      <w:r>
        <w:rPr>
          <w:color w:val="231F20"/>
          <w:spacing w:val="-3"/>
        </w:rPr>
        <w:t> </w:t>
      </w:r>
      <w:r>
        <w:rPr>
          <w:color w:val="231F20"/>
          <w:spacing w:val="-1"/>
          <w:w w:val="119"/>
        </w:rPr>
        <w:t>B</w:t>
      </w:r>
      <w:r>
        <w:rPr>
          <w:color w:val="231F20"/>
          <w:w w:val="108"/>
        </w:rPr>
        <w:t>u</w:t>
      </w:r>
      <w:r>
        <w:rPr>
          <w:color w:val="231F20"/>
          <w:w w:val="121"/>
        </w:rPr>
        <w:t>s</w:t>
      </w:r>
      <w:r>
        <w:rPr>
          <w:color w:val="231F20"/>
          <w:w w:val="99"/>
        </w:rPr>
        <w:t>i</w:t>
      </w:r>
      <w:r>
        <w:rPr>
          <w:color w:val="231F20"/>
          <w:spacing w:val="1"/>
          <w:w w:val="99"/>
        </w:rPr>
        <w:t>n</w:t>
      </w:r>
      <w:r>
        <w:rPr>
          <w:color w:val="231F20"/>
          <w:spacing w:val="1"/>
          <w:w w:val="100"/>
        </w:rPr>
        <w:t>e</w:t>
      </w:r>
      <w:r>
        <w:rPr>
          <w:color w:val="231F20"/>
          <w:spacing w:val="1"/>
          <w:w w:val="121"/>
        </w:rPr>
        <w:t>s</w:t>
      </w:r>
      <w:r>
        <w:rPr>
          <w:color w:val="231F20"/>
          <w:w w:val="121"/>
        </w:rPr>
        <w:t>s</w:t>
      </w:r>
    </w:p>
    <w:p>
      <w:pPr>
        <w:pStyle w:val="BodyText"/>
        <w:spacing w:line="276" w:lineRule="auto"/>
        <w:ind w:left="560"/>
      </w:pPr>
      <w:r>
        <w:rPr>
          <w:color w:val="231F20"/>
          <w:w w:val="114"/>
        </w:rPr>
        <w:t>C</w:t>
      </w:r>
      <w:r>
        <w:rPr>
          <w:color w:val="231F20"/>
          <w:w w:val="109"/>
        </w:rPr>
        <w:t>o</w:t>
      </w:r>
      <w:r>
        <w:rPr>
          <w:color w:val="231F20"/>
          <w:w w:val="92"/>
        </w:rPr>
        <w:t>-</w:t>
      </w:r>
      <w:r>
        <w:rPr>
          <w:color w:val="231F20"/>
          <w:w w:val="109"/>
        </w:rPr>
        <w:t>o</w:t>
      </w:r>
      <w:r>
        <w:rPr>
          <w:color w:val="231F20"/>
          <w:w w:val="107"/>
        </w:rPr>
        <w:t>p</w:t>
      </w:r>
      <w:r>
        <w:rPr>
          <w:color w:val="231F20"/>
          <w:w w:val="100"/>
        </w:rPr>
        <w:t>e</w:t>
      </w:r>
      <w:r>
        <w:rPr>
          <w:color w:val="231F20"/>
          <w:w w:val="90"/>
        </w:rPr>
        <w:t>r</w:t>
      </w:r>
      <w:r>
        <w:rPr>
          <w:color w:val="231F20"/>
          <w:w w:val="101"/>
        </w:rPr>
        <w:t>a</w:t>
      </w:r>
      <w:r>
        <w:rPr>
          <w:color w:val="231F20"/>
          <w:w w:val="83"/>
        </w:rPr>
        <w:t>ti</w:t>
      </w:r>
      <w:r>
        <w:rPr>
          <w:color w:val="231F20"/>
          <w:w w:val="109"/>
        </w:rPr>
        <w:t>o</w:t>
      </w:r>
      <w:r>
        <w:rPr>
          <w:color w:val="231F20"/>
          <w:w w:val="108"/>
        </w:rPr>
        <w:t>n</w:t>
      </w:r>
      <w:r>
        <w:rPr>
          <w:color w:val="231F20"/>
        </w:rPr>
        <w:t> </w:t>
      </w:r>
      <w:r>
        <w:rPr>
          <w:color w:val="231F20"/>
          <w:w w:val="114"/>
        </w:rPr>
        <w:t>C</w:t>
      </w:r>
      <w:r>
        <w:rPr>
          <w:color w:val="231F20"/>
          <w:w w:val="109"/>
        </w:rPr>
        <w:t>o</w:t>
      </w:r>
      <w:r>
        <w:rPr>
          <w:color w:val="231F20"/>
          <w:w w:val="110"/>
        </w:rPr>
        <w:t>mm</w:t>
      </w:r>
      <w:r>
        <w:rPr>
          <w:color w:val="231F20"/>
          <w:w w:val="83"/>
        </w:rPr>
        <w:t>itt</w:t>
      </w:r>
      <w:r>
        <w:rPr>
          <w:color w:val="231F20"/>
          <w:w w:val="100"/>
        </w:rPr>
        <w:t>ee</w:t>
      </w:r>
      <w:r>
        <w:rPr>
          <w:color w:val="231F20"/>
        </w:rPr>
        <w:t> </w:t>
      </w:r>
      <w:r>
        <w:rPr>
          <w:color w:val="231F20"/>
          <w:w w:val="81"/>
        </w:rPr>
        <w:t>(</w:t>
      </w:r>
      <w:r>
        <w:rPr>
          <w:color w:val="231F20"/>
          <w:w w:val="115"/>
        </w:rPr>
        <w:t>E</w:t>
      </w:r>
      <w:r>
        <w:rPr>
          <w:color w:val="231F20"/>
          <w:w w:val="117"/>
        </w:rPr>
        <w:t>U</w:t>
      </w:r>
      <w:r>
        <w:rPr>
          <w:color w:val="231F20"/>
          <w:w w:val="57"/>
        </w:rPr>
        <w:t>/</w:t>
      </w:r>
      <w:r>
        <w:rPr>
          <w:color w:val="231F20"/>
          <w:w w:val="116"/>
        </w:rPr>
        <w:t>H</w:t>
      </w:r>
      <w:r>
        <w:rPr>
          <w:color w:val="231F20"/>
          <w:w w:val="110"/>
        </w:rPr>
        <w:t>K</w:t>
      </w:r>
      <w:r>
        <w:rPr>
          <w:color w:val="231F20"/>
        </w:rPr>
        <w:t> </w:t>
      </w:r>
      <w:r>
        <w:rPr>
          <w:color w:val="231F20"/>
          <w:w w:val="119"/>
        </w:rPr>
        <w:t>B</w:t>
      </w:r>
      <w:r>
        <w:rPr>
          <w:color w:val="231F20"/>
          <w:w w:val="114"/>
        </w:rPr>
        <w:t>CC</w:t>
      </w:r>
      <w:r>
        <w:rPr>
          <w:color w:val="231F20"/>
          <w:w w:val="81"/>
        </w:rPr>
        <w:t>)</w:t>
      </w:r>
      <w:r>
        <w:rPr>
          <w:color w:val="231F20"/>
        </w:rPr>
        <w:t> </w:t>
      </w:r>
      <w:r>
        <w:rPr>
          <w:color w:val="231F20"/>
          <w:w w:val="109"/>
        </w:rPr>
        <w:t>as</w:t>
      </w:r>
      <w:r>
        <w:rPr>
          <w:color w:val="231F20"/>
        </w:rPr>
        <w:t> </w:t>
      </w:r>
      <w:r>
        <w:rPr>
          <w:color w:val="231F20"/>
          <w:w w:val="113"/>
        </w:rPr>
        <w:t>w</w:t>
      </w:r>
      <w:r>
        <w:rPr>
          <w:color w:val="231F20"/>
          <w:w w:val="100"/>
        </w:rPr>
        <w:t>e</w:t>
      </w:r>
      <w:r>
        <w:rPr>
          <w:color w:val="231F20"/>
          <w:w w:val="81"/>
        </w:rPr>
        <w:t>ll</w:t>
      </w:r>
      <w:r>
        <w:rPr>
          <w:color w:val="231F20"/>
        </w:rPr>
        <w:t> </w:t>
      </w:r>
      <w:r>
        <w:rPr>
          <w:color w:val="231F20"/>
          <w:w w:val="109"/>
        </w:rPr>
        <w:t>as</w:t>
      </w:r>
      <w:r>
        <w:rPr>
          <w:color w:val="231F20"/>
        </w:rPr>
        <w:t> </w:t>
      </w:r>
      <w:r>
        <w:rPr>
          <w:color w:val="231F20"/>
          <w:w w:val="101"/>
        </w:rPr>
        <w:t>a</w:t>
      </w:r>
      <w:r>
        <w:rPr>
          <w:color w:val="231F20"/>
        </w:rPr>
        <w:t> </w:t>
      </w:r>
      <w:r>
        <w:rPr>
          <w:color w:val="231F20"/>
          <w:w w:val="110"/>
        </w:rPr>
        <w:t>m</w:t>
      </w:r>
      <w:r>
        <w:rPr>
          <w:color w:val="231F20"/>
          <w:w w:val="100"/>
        </w:rPr>
        <w:t>e</w:t>
      </w:r>
      <w:r>
        <w:rPr>
          <w:color w:val="231F20"/>
          <w:w w:val="110"/>
        </w:rPr>
        <w:t>m</w:t>
      </w:r>
      <w:r>
        <w:rPr>
          <w:color w:val="231F20"/>
          <w:w w:val="107"/>
        </w:rPr>
        <w:t>b</w:t>
      </w:r>
      <w:r>
        <w:rPr>
          <w:color w:val="231F20"/>
          <w:w w:val="100"/>
        </w:rPr>
        <w:t>e</w:t>
      </w:r>
      <w:r>
        <w:rPr>
          <w:color w:val="231F20"/>
          <w:w w:val="90"/>
        </w:rPr>
        <w:t>r </w:t>
      </w:r>
      <w:r>
        <w:rPr>
          <w:color w:val="231F20"/>
        </w:rPr>
        <w:t>of the Foundation Board of the Verbier Festival, Switzerland.</w:t>
      </w:r>
    </w:p>
    <w:p>
      <w:pPr>
        <w:pStyle w:val="BodyText"/>
        <w:rPr>
          <w:sz w:val="22"/>
        </w:rPr>
      </w:pPr>
    </w:p>
    <w:p>
      <w:pPr>
        <w:pStyle w:val="BodyText"/>
        <w:spacing w:before="7"/>
      </w:pPr>
    </w:p>
    <w:p>
      <w:pPr>
        <w:pStyle w:val="Heading3"/>
        <w:spacing w:line="276" w:lineRule="auto"/>
        <w:ind w:right="3953"/>
      </w:pPr>
      <w:r>
        <w:rPr/>
        <w:drawing>
          <wp:anchor distT="0" distB="0" distL="0" distR="0" allowOverlap="1" layoutInCell="1" locked="0" behindDoc="0" simplePos="0" relativeHeight="1600">
            <wp:simplePos x="0" y="0"/>
            <wp:positionH relativeFrom="page">
              <wp:posOffset>2879991</wp:posOffset>
            </wp:positionH>
            <wp:positionV relativeFrom="paragraph">
              <wp:posOffset>107323</wp:posOffset>
            </wp:positionV>
            <wp:extent cx="972007" cy="914400"/>
            <wp:effectExtent l="0" t="0" r="0" b="0"/>
            <wp:wrapNone/>
            <wp:docPr id="5" name="image18.png" descr=""/>
            <wp:cNvGraphicFramePr>
              <a:graphicFrameLocks noChangeAspect="1"/>
            </wp:cNvGraphicFramePr>
            <a:graphic>
              <a:graphicData uri="http://schemas.openxmlformats.org/drawingml/2006/picture">
                <pic:pic>
                  <pic:nvPicPr>
                    <pic:cNvPr id="6" name="image18.png"/>
                    <pic:cNvPicPr/>
                  </pic:nvPicPr>
                  <pic:blipFill>
                    <a:blip r:embed="rId39" cstate="print"/>
                    <a:stretch>
                      <a:fillRect/>
                    </a:stretch>
                  </pic:blipFill>
                  <pic:spPr>
                    <a:xfrm>
                      <a:off x="0" y="0"/>
                      <a:ext cx="972007" cy="914400"/>
                    </a:xfrm>
                    <a:prstGeom prst="rect">
                      <a:avLst/>
                    </a:prstGeom>
                  </pic:spPr>
                </pic:pic>
              </a:graphicData>
            </a:graphic>
          </wp:anchor>
        </w:drawing>
      </w:r>
      <w:r>
        <w:rPr>
          <w:color w:val="231F20"/>
          <w:w w:val="110"/>
        </w:rPr>
        <w:t>Paul Bulcke </w:t>
      </w:r>
      <w:r>
        <w:rPr>
          <w:color w:val="586670"/>
          <w:w w:val="110"/>
        </w:rPr>
        <w:t>CEO</w:t>
      </w:r>
    </w:p>
    <w:p>
      <w:pPr>
        <w:pStyle w:val="BodyText"/>
        <w:spacing w:line="276" w:lineRule="auto"/>
        <w:ind w:left="560" w:right="1829"/>
      </w:pPr>
      <w:r>
        <w:rPr>
          <w:color w:val="231F20"/>
        </w:rPr>
        <w:t>Paul Bulcke began his career in </w:t>
      </w:r>
      <w:r>
        <w:rPr>
          <w:color w:val="231F20"/>
          <w:spacing w:val="-5"/>
        </w:rPr>
        <w:t>1977 </w:t>
      </w:r>
      <w:r>
        <w:rPr>
          <w:color w:val="231F20"/>
        </w:rPr>
        <w:t>as a financial analyst for Scott Graphics International in Belgium before moving to the Nestlé Group in </w:t>
      </w:r>
      <w:r>
        <w:rPr>
          <w:color w:val="231F20"/>
          <w:spacing w:val="-4"/>
        </w:rPr>
        <w:t>1979</w:t>
      </w:r>
      <w:r>
        <w:rPr>
          <w:color w:val="231F20"/>
          <w:spacing w:val="10"/>
        </w:rPr>
        <w:t> </w:t>
      </w:r>
      <w:r>
        <w:rPr>
          <w:color w:val="231F20"/>
        </w:rPr>
        <w:t>as</w:t>
      </w:r>
    </w:p>
    <w:p>
      <w:pPr>
        <w:pStyle w:val="BodyText"/>
        <w:spacing w:line="276" w:lineRule="auto"/>
        <w:ind w:left="560" w:right="1588"/>
      </w:pPr>
      <w:r>
        <w:rPr>
          <w:color w:val="231F20"/>
        </w:rPr>
        <w:t>a marketing trainee. From 1980 to 1996, he held various responsibilities in</w:t>
      </w:r>
    </w:p>
    <w:p>
      <w:pPr>
        <w:pStyle w:val="BodyText"/>
        <w:spacing w:line="276" w:lineRule="auto"/>
        <w:ind w:left="560"/>
      </w:pPr>
      <w:r>
        <w:rPr>
          <w:color w:val="231F20"/>
          <w:w w:val="105"/>
        </w:rPr>
        <w:t>Nestlé</w:t>
      </w:r>
      <w:r>
        <w:rPr>
          <w:color w:val="231F20"/>
          <w:spacing w:val="-11"/>
          <w:w w:val="105"/>
        </w:rPr>
        <w:t> </w:t>
      </w:r>
      <w:r>
        <w:rPr>
          <w:color w:val="231F20"/>
          <w:w w:val="105"/>
        </w:rPr>
        <w:t>Peru,</w:t>
      </w:r>
      <w:r>
        <w:rPr>
          <w:color w:val="231F20"/>
          <w:spacing w:val="-11"/>
          <w:w w:val="105"/>
        </w:rPr>
        <w:t> </w:t>
      </w:r>
      <w:r>
        <w:rPr>
          <w:color w:val="231F20"/>
          <w:w w:val="105"/>
        </w:rPr>
        <w:t>Nestlé</w:t>
      </w:r>
      <w:r>
        <w:rPr>
          <w:color w:val="231F20"/>
          <w:spacing w:val="-11"/>
          <w:w w:val="105"/>
        </w:rPr>
        <w:t> </w:t>
      </w:r>
      <w:r>
        <w:rPr>
          <w:color w:val="231F20"/>
          <w:w w:val="105"/>
        </w:rPr>
        <w:t>Ecuador</w:t>
      </w:r>
      <w:r>
        <w:rPr>
          <w:color w:val="231F20"/>
          <w:spacing w:val="-11"/>
          <w:w w:val="105"/>
        </w:rPr>
        <w:t> </w:t>
      </w:r>
      <w:r>
        <w:rPr>
          <w:color w:val="231F20"/>
          <w:w w:val="105"/>
        </w:rPr>
        <w:t>and</w:t>
      </w:r>
      <w:r>
        <w:rPr>
          <w:color w:val="231F20"/>
          <w:spacing w:val="-11"/>
          <w:w w:val="105"/>
        </w:rPr>
        <w:t> </w:t>
      </w:r>
      <w:r>
        <w:rPr>
          <w:color w:val="231F20"/>
          <w:w w:val="105"/>
        </w:rPr>
        <w:t>Nestlé</w:t>
      </w:r>
      <w:r>
        <w:rPr>
          <w:color w:val="231F20"/>
          <w:spacing w:val="-11"/>
          <w:w w:val="105"/>
        </w:rPr>
        <w:t> </w:t>
      </w:r>
      <w:r>
        <w:rPr>
          <w:color w:val="231F20"/>
          <w:w w:val="105"/>
        </w:rPr>
        <w:t>Chile</w:t>
      </w:r>
      <w:r>
        <w:rPr>
          <w:color w:val="231F20"/>
          <w:spacing w:val="-10"/>
          <w:w w:val="105"/>
        </w:rPr>
        <w:t> </w:t>
      </w:r>
      <w:r>
        <w:rPr>
          <w:color w:val="231F20"/>
          <w:w w:val="105"/>
        </w:rPr>
        <w:t>before</w:t>
      </w:r>
      <w:r>
        <w:rPr>
          <w:color w:val="231F20"/>
          <w:spacing w:val="-11"/>
          <w:w w:val="105"/>
        </w:rPr>
        <w:t> </w:t>
      </w:r>
      <w:r>
        <w:rPr>
          <w:color w:val="231F20"/>
          <w:w w:val="105"/>
        </w:rPr>
        <w:t>moving back to Europe as Managing Director of Nestlé Portugal, Nestlé</w:t>
      </w:r>
      <w:r>
        <w:rPr>
          <w:color w:val="231F20"/>
          <w:spacing w:val="-9"/>
          <w:w w:val="105"/>
        </w:rPr>
        <w:t> </w:t>
      </w:r>
      <w:r>
        <w:rPr>
          <w:color w:val="231F20"/>
          <w:w w:val="105"/>
        </w:rPr>
        <w:t>Czech</w:t>
      </w:r>
      <w:r>
        <w:rPr>
          <w:color w:val="231F20"/>
          <w:spacing w:val="-9"/>
          <w:w w:val="105"/>
        </w:rPr>
        <w:t> </w:t>
      </w:r>
      <w:r>
        <w:rPr>
          <w:color w:val="231F20"/>
          <w:w w:val="105"/>
        </w:rPr>
        <w:t>and</w:t>
      </w:r>
      <w:r>
        <w:rPr>
          <w:color w:val="231F20"/>
          <w:spacing w:val="-8"/>
          <w:w w:val="105"/>
        </w:rPr>
        <w:t> </w:t>
      </w:r>
      <w:r>
        <w:rPr>
          <w:color w:val="231F20"/>
          <w:w w:val="105"/>
        </w:rPr>
        <w:t>Slovak</w:t>
      </w:r>
      <w:r>
        <w:rPr>
          <w:color w:val="231F20"/>
          <w:spacing w:val="-9"/>
          <w:w w:val="105"/>
        </w:rPr>
        <w:t> </w:t>
      </w:r>
      <w:r>
        <w:rPr>
          <w:color w:val="231F20"/>
          <w:w w:val="105"/>
        </w:rPr>
        <w:t>Republic,</w:t>
      </w:r>
      <w:r>
        <w:rPr>
          <w:color w:val="231F20"/>
          <w:spacing w:val="-9"/>
          <w:w w:val="105"/>
        </w:rPr>
        <w:t> </w:t>
      </w:r>
      <w:r>
        <w:rPr>
          <w:color w:val="231F20"/>
          <w:w w:val="105"/>
        </w:rPr>
        <w:t>and</w:t>
      </w:r>
      <w:r>
        <w:rPr>
          <w:color w:val="231F20"/>
          <w:spacing w:val="-8"/>
          <w:w w:val="105"/>
        </w:rPr>
        <w:t> </w:t>
      </w:r>
      <w:r>
        <w:rPr>
          <w:color w:val="231F20"/>
          <w:w w:val="105"/>
        </w:rPr>
        <w:t>Nestlé</w:t>
      </w:r>
      <w:r>
        <w:rPr>
          <w:color w:val="231F20"/>
          <w:spacing w:val="-9"/>
          <w:w w:val="105"/>
        </w:rPr>
        <w:t> </w:t>
      </w:r>
      <w:r>
        <w:rPr>
          <w:color w:val="231F20"/>
          <w:w w:val="105"/>
        </w:rPr>
        <w:t>Germany.</w:t>
      </w:r>
    </w:p>
    <w:p>
      <w:pPr>
        <w:pStyle w:val="BodyText"/>
        <w:spacing w:line="276" w:lineRule="auto"/>
        <w:ind w:left="560"/>
      </w:pPr>
      <w:r>
        <w:rPr>
          <w:color w:val="231F20"/>
          <w:w w:val="105"/>
        </w:rPr>
        <w:t>In 2004, he was appointed Executive Vice President, responsible for Zone Americas. In April 2008, Paul Bulcke was</w:t>
      </w:r>
      <w:r>
        <w:rPr>
          <w:color w:val="231F20"/>
          <w:spacing w:val="-20"/>
          <w:w w:val="105"/>
        </w:rPr>
        <w:t> </w:t>
      </w:r>
      <w:r>
        <w:rPr>
          <w:color w:val="231F20"/>
          <w:w w:val="105"/>
        </w:rPr>
        <w:t>elected</w:t>
      </w:r>
      <w:r>
        <w:rPr>
          <w:color w:val="231F20"/>
          <w:spacing w:val="-19"/>
          <w:w w:val="105"/>
        </w:rPr>
        <w:t> </w:t>
      </w:r>
      <w:r>
        <w:rPr>
          <w:color w:val="231F20"/>
          <w:w w:val="105"/>
        </w:rPr>
        <w:t>member</w:t>
      </w:r>
      <w:r>
        <w:rPr>
          <w:color w:val="231F20"/>
          <w:spacing w:val="-19"/>
          <w:w w:val="105"/>
        </w:rPr>
        <w:t> </w:t>
      </w:r>
      <w:r>
        <w:rPr>
          <w:color w:val="231F20"/>
          <w:w w:val="105"/>
        </w:rPr>
        <w:t>of</w:t>
      </w:r>
      <w:r>
        <w:rPr>
          <w:color w:val="231F20"/>
          <w:spacing w:val="-19"/>
          <w:w w:val="105"/>
        </w:rPr>
        <w:t> </w:t>
      </w:r>
      <w:r>
        <w:rPr>
          <w:color w:val="231F20"/>
          <w:w w:val="105"/>
        </w:rPr>
        <w:t>the</w:t>
      </w:r>
      <w:r>
        <w:rPr>
          <w:color w:val="231F20"/>
          <w:spacing w:val="-20"/>
          <w:w w:val="105"/>
        </w:rPr>
        <w:t> </w:t>
      </w:r>
      <w:r>
        <w:rPr>
          <w:color w:val="231F20"/>
          <w:w w:val="105"/>
        </w:rPr>
        <w:t>Board</w:t>
      </w:r>
      <w:r>
        <w:rPr>
          <w:color w:val="231F20"/>
          <w:spacing w:val="-19"/>
          <w:w w:val="105"/>
        </w:rPr>
        <w:t> </w:t>
      </w:r>
      <w:r>
        <w:rPr>
          <w:color w:val="231F20"/>
          <w:w w:val="105"/>
        </w:rPr>
        <w:t>of</w:t>
      </w:r>
      <w:r>
        <w:rPr>
          <w:color w:val="231F20"/>
          <w:spacing w:val="-19"/>
          <w:w w:val="105"/>
        </w:rPr>
        <w:t> </w:t>
      </w:r>
      <w:r>
        <w:rPr>
          <w:color w:val="231F20"/>
          <w:w w:val="105"/>
        </w:rPr>
        <w:t>Directors</w:t>
      </w:r>
      <w:r>
        <w:rPr>
          <w:color w:val="231F20"/>
          <w:spacing w:val="-19"/>
          <w:w w:val="105"/>
        </w:rPr>
        <w:t> </w:t>
      </w:r>
      <w:r>
        <w:rPr>
          <w:color w:val="231F20"/>
          <w:w w:val="105"/>
        </w:rPr>
        <w:t>of</w:t>
      </w:r>
      <w:r>
        <w:rPr>
          <w:color w:val="231F20"/>
          <w:spacing w:val="-19"/>
          <w:w w:val="105"/>
        </w:rPr>
        <w:t> </w:t>
      </w:r>
      <w:r>
        <w:rPr>
          <w:color w:val="231F20"/>
          <w:w w:val="105"/>
        </w:rPr>
        <w:t>Nestlé</w:t>
      </w:r>
      <w:r>
        <w:rPr>
          <w:color w:val="231F20"/>
          <w:spacing w:val="-20"/>
          <w:w w:val="105"/>
        </w:rPr>
        <w:t> </w:t>
      </w:r>
      <w:r>
        <w:rPr>
          <w:color w:val="231F20"/>
          <w:w w:val="105"/>
        </w:rPr>
        <w:t>S.A. and</w:t>
      </w:r>
      <w:r>
        <w:rPr>
          <w:color w:val="231F20"/>
          <w:spacing w:val="-17"/>
          <w:w w:val="105"/>
        </w:rPr>
        <w:t> </w:t>
      </w:r>
      <w:r>
        <w:rPr>
          <w:color w:val="231F20"/>
          <w:w w:val="105"/>
        </w:rPr>
        <w:t>the</w:t>
      </w:r>
      <w:r>
        <w:rPr>
          <w:color w:val="231F20"/>
          <w:spacing w:val="-17"/>
          <w:w w:val="105"/>
        </w:rPr>
        <w:t> </w:t>
      </w:r>
      <w:r>
        <w:rPr>
          <w:color w:val="231F20"/>
          <w:w w:val="105"/>
        </w:rPr>
        <w:t>Board</w:t>
      </w:r>
      <w:r>
        <w:rPr>
          <w:color w:val="231F20"/>
          <w:spacing w:val="-17"/>
          <w:w w:val="105"/>
        </w:rPr>
        <w:t> </w:t>
      </w:r>
      <w:r>
        <w:rPr>
          <w:color w:val="231F20"/>
          <w:w w:val="105"/>
        </w:rPr>
        <w:t>appointed</w:t>
      </w:r>
      <w:r>
        <w:rPr>
          <w:color w:val="231F20"/>
          <w:spacing w:val="-17"/>
          <w:w w:val="105"/>
        </w:rPr>
        <w:t> </w:t>
      </w:r>
      <w:r>
        <w:rPr>
          <w:color w:val="231F20"/>
          <w:w w:val="105"/>
        </w:rPr>
        <w:t>him</w:t>
      </w:r>
      <w:r>
        <w:rPr>
          <w:color w:val="231F20"/>
          <w:spacing w:val="-17"/>
          <w:w w:val="105"/>
        </w:rPr>
        <w:t> </w:t>
      </w:r>
      <w:r>
        <w:rPr>
          <w:color w:val="231F20"/>
          <w:w w:val="105"/>
        </w:rPr>
        <w:t>Chief</w:t>
      </w:r>
      <w:r>
        <w:rPr>
          <w:color w:val="231F20"/>
          <w:spacing w:val="-17"/>
          <w:w w:val="105"/>
        </w:rPr>
        <w:t> </w:t>
      </w:r>
      <w:r>
        <w:rPr>
          <w:color w:val="231F20"/>
          <w:w w:val="105"/>
        </w:rPr>
        <w:t>Executive</w:t>
      </w:r>
      <w:r>
        <w:rPr>
          <w:color w:val="231F20"/>
          <w:spacing w:val="-17"/>
          <w:w w:val="105"/>
        </w:rPr>
        <w:t> </w:t>
      </w:r>
      <w:r>
        <w:rPr>
          <w:color w:val="231F20"/>
          <w:spacing w:val="2"/>
          <w:w w:val="105"/>
        </w:rPr>
        <w:t>Officer</w:t>
      </w:r>
      <w:r>
        <w:rPr>
          <w:color w:val="231F20"/>
          <w:spacing w:val="-17"/>
          <w:w w:val="105"/>
        </w:rPr>
        <w:t> </w:t>
      </w:r>
      <w:r>
        <w:rPr>
          <w:color w:val="231F20"/>
          <w:spacing w:val="-3"/>
          <w:w w:val="105"/>
        </w:rPr>
        <w:t>(CEO).</w:t>
      </w:r>
    </w:p>
    <w:p>
      <w:pPr>
        <w:pStyle w:val="BodyText"/>
        <w:spacing w:line="276" w:lineRule="auto" w:before="108"/>
        <w:ind w:left="186" w:right="304" w:firstLine="226"/>
      </w:pPr>
      <w:r>
        <w:rPr/>
        <w:br w:type="column"/>
      </w:r>
      <w:r>
        <w:rPr>
          <w:color w:val="231F20"/>
        </w:rPr>
        <w:t>As a representative of Nestlé, Paul Bulcke serves as   Board member of </w:t>
      </w:r>
      <w:r>
        <w:rPr>
          <w:color w:val="231F20"/>
          <w:spacing w:val="-4"/>
        </w:rPr>
        <w:t>L’Oréal </w:t>
      </w:r>
      <w:r>
        <w:rPr>
          <w:color w:val="231F20"/>
        </w:rPr>
        <w:t>S.A., France, and as Co-Chairman of the Supervisory Board of Cereal Partners Worldwide, Switzerland.</w:t>
      </w:r>
    </w:p>
    <w:p>
      <w:pPr>
        <w:pStyle w:val="BodyText"/>
        <w:spacing w:line="276" w:lineRule="auto"/>
        <w:ind w:left="186" w:right="304" w:firstLine="226"/>
      </w:pPr>
      <w:r>
        <w:rPr>
          <w:color w:val="231F20"/>
        </w:rPr>
        <w:t>Furthermore, Paul Bulcke is a Board member of Roche Holding Ltd., Switzerland. He is Co-Chair of the Consumer Goods Forum Board of Directors and is a member of its Governance Committee. Paul Bulcke is also a member of the Board of Trustees of Avenir Suisse, Switzerland, and of the International Business Council of the World Economic Forum</w:t>
      </w:r>
      <w:r>
        <w:rPr>
          <w:color w:val="231F20"/>
          <w:spacing w:val="-3"/>
        </w:rPr>
        <w:t> </w:t>
      </w:r>
      <w:r>
        <w:rPr>
          <w:color w:val="231F20"/>
        </w:rPr>
        <w:t>(WEF).</w:t>
      </w:r>
    </w:p>
    <w:p>
      <w:pPr>
        <w:pStyle w:val="BodyText"/>
        <w:rPr>
          <w:sz w:val="22"/>
        </w:rPr>
      </w:pPr>
    </w:p>
    <w:p>
      <w:pPr>
        <w:pStyle w:val="BodyText"/>
        <w:rPr>
          <w:sz w:val="19"/>
        </w:rPr>
      </w:pPr>
    </w:p>
    <w:p>
      <w:pPr>
        <w:pStyle w:val="Heading3"/>
        <w:spacing w:line="276" w:lineRule="auto"/>
        <w:ind w:left="186" w:right="3120"/>
      </w:pPr>
      <w:r>
        <w:rPr/>
        <w:drawing>
          <wp:anchor distT="0" distB="0" distL="0" distR="0" allowOverlap="1" layoutInCell="1" locked="0" behindDoc="0" simplePos="0" relativeHeight="1624">
            <wp:simplePos x="0" y="0"/>
            <wp:positionH relativeFrom="page">
              <wp:posOffset>6228003</wp:posOffset>
            </wp:positionH>
            <wp:positionV relativeFrom="paragraph">
              <wp:posOffset>107311</wp:posOffset>
            </wp:positionV>
            <wp:extent cx="971994" cy="914412"/>
            <wp:effectExtent l="0" t="0" r="0" b="0"/>
            <wp:wrapNone/>
            <wp:docPr id="7" name="image19.png" descr=""/>
            <wp:cNvGraphicFramePr>
              <a:graphicFrameLocks noChangeAspect="1"/>
            </wp:cNvGraphicFramePr>
            <a:graphic>
              <a:graphicData uri="http://schemas.openxmlformats.org/drawingml/2006/picture">
                <pic:pic>
                  <pic:nvPicPr>
                    <pic:cNvPr id="8" name="image19.png"/>
                    <pic:cNvPicPr/>
                  </pic:nvPicPr>
                  <pic:blipFill>
                    <a:blip r:embed="rId40" cstate="print"/>
                    <a:stretch>
                      <a:fillRect/>
                    </a:stretch>
                  </pic:blipFill>
                  <pic:spPr>
                    <a:xfrm>
                      <a:off x="0" y="0"/>
                      <a:ext cx="971994" cy="914412"/>
                    </a:xfrm>
                    <a:prstGeom prst="rect">
                      <a:avLst/>
                    </a:prstGeom>
                  </pic:spPr>
                </pic:pic>
              </a:graphicData>
            </a:graphic>
          </wp:anchor>
        </w:drawing>
      </w:r>
      <w:r>
        <w:rPr>
          <w:color w:val="231F20"/>
          <w:w w:val="110"/>
        </w:rPr>
        <w:t>Andreas Koopmann </w:t>
      </w:r>
      <w:r>
        <w:rPr>
          <w:color w:val="586670"/>
          <w:w w:val="110"/>
        </w:rPr>
        <w:t>1st Vice Chairman</w:t>
      </w:r>
    </w:p>
    <w:p>
      <w:pPr>
        <w:pStyle w:val="BodyText"/>
        <w:spacing w:line="276" w:lineRule="auto"/>
        <w:ind w:left="186" w:right="1954"/>
      </w:pPr>
      <w:r>
        <w:rPr>
          <w:color w:val="231F20"/>
          <w:w w:val="105"/>
        </w:rPr>
        <w:t>Andreas Koopmann began his career in 1979 as Assistant to the Chairman and CEO of Bruno Piatti AG, Switzerland, and from 1980 to 1982 was Assistant to the Group Executive at Motor Columbus AG, Holding,</w:t>
      </w:r>
    </w:p>
    <w:p>
      <w:pPr>
        <w:pStyle w:val="BodyText"/>
        <w:spacing w:line="276" w:lineRule="auto"/>
        <w:ind w:left="186" w:right="205"/>
      </w:pPr>
      <w:r>
        <w:rPr>
          <w:color w:val="231F20"/>
          <w:w w:val="105"/>
        </w:rPr>
        <w:t>Switzerland. From 1982, he was at Bobst Group, starting as Vice President of Engineering and Manufacturing in Roseland, New Jersey, USA. In 1989, he returned to Switzerland, holding a number of senior positions in the company, including member of the Group Executive Committee in charge of Manufacturing. He was a member of</w:t>
      </w:r>
      <w:r>
        <w:rPr>
          <w:color w:val="231F20"/>
          <w:spacing w:val="-15"/>
          <w:w w:val="105"/>
        </w:rPr>
        <w:t> </w:t>
      </w:r>
      <w:r>
        <w:rPr>
          <w:color w:val="231F20"/>
          <w:w w:val="105"/>
        </w:rPr>
        <w:t>the</w:t>
      </w:r>
      <w:r>
        <w:rPr>
          <w:color w:val="231F20"/>
          <w:spacing w:val="-14"/>
          <w:w w:val="105"/>
        </w:rPr>
        <w:t> </w:t>
      </w:r>
      <w:r>
        <w:rPr>
          <w:color w:val="231F20"/>
          <w:w w:val="105"/>
        </w:rPr>
        <w:t>Board</w:t>
      </w:r>
      <w:r>
        <w:rPr>
          <w:color w:val="231F20"/>
          <w:spacing w:val="-14"/>
          <w:w w:val="105"/>
        </w:rPr>
        <w:t> </w:t>
      </w:r>
      <w:r>
        <w:rPr>
          <w:color w:val="231F20"/>
          <w:w w:val="105"/>
        </w:rPr>
        <w:t>of</w:t>
      </w:r>
      <w:r>
        <w:rPr>
          <w:color w:val="231F20"/>
          <w:spacing w:val="-15"/>
          <w:w w:val="105"/>
        </w:rPr>
        <w:t> </w:t>
      </w:r>
      <w:r>
        <w:rPr>
          <w:color w:val="231F20"/>
          <w:w w:val="105"/>
        </w:rPr>
        <w:t>Directors</w:t>
      </w:r>
      <w:r>
        <w:rPr>
          <w:color w:val="231F20"/>
          <w:spacing w:val="-14"/>
          <w:w w:val="105"/>
        </w:rPr>
        <w:t> </w:t>
      </w:r>
      <w:r>
        <w:rPr>
          <w:color w:val="231F20"/>
          <w:w w:val="105"/>
        </w:rPr>
        <w:t>for</w:t>
      </w:r>
      <w:r>
        <w:rPr>
          <w:color w:val="231F20"/>
          <w:spacing w:val="-14"/>
          <w:w w:val="105"/>
        </w:rPr>
        <w:t> </w:t>
      </w:r>
      <w:r>
        <w:rPr>
          <w:color w:val="231F20"/>
          <w:w w:val="105"/>
        </w:rPr>
        <w:t>Bobst</w:t>
      </w:r>
      <w:r>
        <w:rPr>
          <w:color w:val="231F20"/>
          <w:spacing w:val="-14"/>
          <w:w w:val="105"/>
        </w:rPr>
        <w:t> </w:t>
      </w:r>
      <w:r>
        <w:rPr>
          <w:color w:val="231F20"/>
          <w:w w:val="105"/>
        </w:rPr>
        <w:t>Group</w:t>
      </w:r>
      <w:r>
        <w:rPr>
          <w:color w:val="231F20"/>
          <w:spacing w:val="-15"/>
          <w:w w:val="105"/>
        </w:rPr>
        <w:t> </w:t>
      </w:r>
      <w:r>
        <w:rPr>
          <w:color w:val="231F20"/>
          <w:w w:val="105"/>
        </w:rPr>
        <w:t>from</w:t>
      </w:r>
      <w:r>
        <w:rPr>
          <w:color w:val="231F20"/>
          <w:spacing w:val="-14"/>
          <w:w w:val="105"/>
        </w:rPr>
        <w:t> </w:t>
      </w:r>
      <w:r>
        <w:rPr>
          <w:color w:val="231F20"/>
          <w:spacing w:val="-3"/>
          <w:w w:val="105"/>
        </w:rPr>
        <w:t>1998</w:t>
      </w:r>
      <w:r>
        <w:rPr>
          <w:color w:val="231F20"/>
          <w:spacing w:val="-14"/>
          <w:w w:val="105"/>
        </w:rPr>
        <w:t> </w:t>
      </w:r>
      <w:r>
        <w:rPr>
          <w:color w:val="231F20"/>
          <w:w w:val="105"/>
        </w:rPr>
        <w:t>to</w:t>
      </w:r>
      <w:r>
        <w:rPr>
          <w:color w:val="231F20"/>
          <w:spacing w:val="-14"/>
          <w:w w:val="105"/>
        </w:rPr>
        <w:t> </w:t>
      </w:r>
      <w:r>
        <w:rPr>
          <w:color w:val="231F20"/>
          <w:w w:val="105"/>
        </w:rPr>
        <w:t>2002 and was appointed CEO in 1995, a position he held until May 2009. From </w:t>
      </w:r>
      <w:r>
        <w:rPr>
          <w:color w:val="231F20"/>
          <w:spacing w:val="-4"/>
          <w:w w:val="105"/>
        </w:rPr>
        <w:t>2010 </w:t>
      </w:r>
      <w:r>
        <w:rPr>
          <w:color w:val="231F20"/>
          <w:w w:val="105"/>
        </w:rPr>
        <w:t>to </w:t>
      </w:r>
      <w:r>
        <w:rPr>
          <w:color w:val="231F20"/>
          <w:spacing w:val="-5"/>
          <w:w w:val="105"/>
        </w:rPr>
        <w:t>2012, </w:t>
      </w:r>
      <w:r>
        <w:rPr>
          <w:color w:val="231F20"/>
          <w:w w:val="105"/>
        </w:rPr>
        <w:t>Andreas Koopmann was Chairman</w:t>
      </w:r>
      <w:r>
        <w:rPr>
          <w:color w:val="231F20"/>
          <w:spacing w:val="-8"/>
          <w:w w:val="105"/>
        </w:rPr>
        <w:t> </w:t>
      </w:r>
      <w:r>
        <w:rPr>
          <w:color w:val="231F20"/>
          <w:w w:val="105"/>
        </w:rPr>
        <w:t>of</w:t>
      </w:r>
      <w:r>
        <w:rPr>
          <w:color w:val="231F20"/>
          <w:spacing w:val="-7"/>
          <w:w w:val="105"/>
        </w:rPr>
        <w:t> </w:t>
      </w:r>
      <w:r>
        <w:rPr>
          <w:color w:val="231F20"/>
          <w:w w:val="105"/>
        </w:rPr>
        <w:t>Alstom</w:t>
      </w:r>
      <w:r>
        <w:rPr>
          <w:color w:val="231F20"/>
          <w:spacing w:val="-7"/>
          <w:w w:val="105"/>
        </w:rPr>
        <w:t> </w:t>
      </w:r>
      <w:r>
        <w:rPr>
          <w:color w:val="231F20"/>
          <w:w w:val="105"/>
        </w:rPr>
        <w:t>(Suisse)</w:t>
      </w:r>
      <w:r>
        <w:rPr>
          <w:color w:val="231F20"/>
          <w:spacing w:val="-7"/>
          <w:w w:val="105"/>
        </w:rPr>
        <w:t> </w:t>
      </w:r>
      <w:r>
        <w:rPr>
          <w:color w:val="231F20"/>
          <w:w w:val="105"/>
        </w:rPr>
        <w:t>S.A.</w:t>
      </w:r>
      <w:r>
        <w:rPr>
          <w:color w:val="231F20"/>
          <w:spacing w:val="-7"/>
          <w:w w:val="105"/>
        </w:rPr>
        <w:t> </w:t>
      </w:r>
      <w:r>
        <w:rPr>
          <w:color w:val="231F20"/>
          <w:w w:val="105"/>
        </w:rPr>
        <w:t>and</w:t>
      </w:r>
      <w:r>
        <w:rPr>
          <w:color w:val="231F20"/>
          <w:spacing w:val="-7"/>
          <w:w w:val="105"/>
        </w:rPr>
        <w:t> </w:t>
      </w:r>
      <w:r>
        <w:rPr>
          <w:color w:val="231F20"/>
          <w:w w:val="105"/>
        </w:rPr>
        <w:t>Country</w:t>
      </w:r>
      <w:r>
        <w:rPr>
          <w:color w:val="231F20"/>
          <w:spacing w:val="-7"/>
          <w:w w:val="105"/>
        </w:rPr>
        <w:t> </w:t>
      </w:r>
      <w:r>
        <w:rPr>
          <w:color w:val="231F20"/>
          <w:w w:val="105"/>
        </w:rPr>
        <w:t>President.</w:t>
      </w:r>
    </w:p>
    <w:p>
      <w:pPr>
        <w:pStyle w:val="BodyText"/>
        <w:spacing w:line="276" w:lineRule="auto"/>
        <w:ind w:left="186" w:right="304" w:firstLine="226"/>
      </w:pPr>
      <w:r>
        <w:rPr>
          <w:color w:val="231F20"/>
          <w:w w:val="105"/>
        </w:rPr>
        <w:t>Presently, he serves as Chairman of Georg Fischer AG, Switzerland, as a Board member of Credit Suisse Group, Switzerland, as well as of CSD Group, Switzerland.</w:t>
      </w:r>
    </w:p>
    <w:p>
      <w:pPr>
        <w:pStyle w:val="BodyText"/>
        <w:rPr>
          <w:sz w:val="22"/>
        </w:rPr>
      </w:pPr>
    </w:p>
    <w:p>
      <w:pPr>
        <w:pStyle w:val="BodyText"/>
        <w:spacing w:before="8"/>
      </w:pPr>
    </w:p>
    <w:p>
      <w:pPr>
        <w:pStyle w:val="Heading3"/>
        <w:ind w:left="186"/>
      </w:pPr>
      <w:r>
        <w:rPr/>
        <w:drawing>
          <wp:anchor distT="0" distB="0" distL="0" distR="0" allowOverlap="1" layoutInCell="1" locked="0" behindDoc="0" simplePos="0" relativeHeight="1648">
            <wp:simplePos x="0" y="0"/>
            <wp:positionH relativeFrom="page">
              <wp:posOffset>6228003</wp:posOffset>
            </wp:positionH>
            <wp:positionV relativeFrom="paragraph">
              <wp:posOffset>107323</wp:posOffset>
            </wp:positionV>
            <wp:extent cx="971994" cy="914400"/>
            <wp:effectExtent l="0" t="0" r="0" b="0"/>
            <wp:wrapNone/>
            <wp:docPr id="9" name="image20.png" descr=""/>
            <wp:cNvGraphicFramePr>
              <a:graphicFrameLocks noChangeAspect="1"/>
            </wp:cNvGraphicFramePr>
            <a:graphic>
              <a:graphicData uri="http://schemas.openxmlformats.org/drawingml/2006/picture">
                <pic:pic>
                  <pic:nvPicPr>
                    <pic:cNvPr id="10" name="image20.png"/>
                    <pic:cNvPicPr/>
                  </pic:nvPicPr>
                  <pic:blipFill>
                    <a:blip r:embed="rId41" cstate="print"/>
                    <a:stretch>
                      <a:fillRect/>
                    </a:stretch>
                  </pic:blipFill>
                  <pic:spPr>
                    <a:xfrm>
                      <a:off x="0" y="0"/>
                      <a:ext cx="971994" cy="914400"/>
                    </a:xfrm>
                    <a:prstGeom prst="rect">
                      <a:avLst/>
                    </a:prstGeom>
                  </pic:spPr>
                </pic:pic>
              </a:graphicData>
            </a:graphic>
          </wp:anchor>
        </w:drawing>
      </w:r>
      <w:r>
        <w:rPr>
          <w:color w:val="231F20"/>
          <w:w w:val="115"/>
        </w:rPr>
        <w:t>Rolf Hänggi</w:t>
      </w:r>
    </w:p>
    <w:p>
      <w:pPr>
        <w:spacing w:before="31"/>
        <w:ind w:left="186" w:right="0" w:firstLine="0"/>
        <w:jc w:val="left"/>
        <w:rPr>
          <w:b/>
          <w:sz w:val="18"/>
        </w:rPr>
      </w:pPr>
      <w:r>
        <w:rPr>
          <w:b/>
          <w:color w:val="586670"/>
          <w:w w:val="110"/>
          <w:sz w:val="18"/>
        </w:rPr>
        <w:t>2nd Vice Chairman</w:t>
      </w:r>
    </w:p>
    <w:p>
      <w:pPr>
        <w:pStyle w:val="BodyText"/>
        <w:spacing w:line="276" w:lineRule="auto" w:before="31"/>
        <w:ind w:left="186" w:right="1909"/>
      </w:pPr>
      <w:r>
        <w:rPr>
          <w:color w:val="231F20"/>
        </w:rPr>
        <w:t>In </w:t>
      </w:r>
      <w:r>
        <w:rPr>
          <w:color w:val="231F20"/>
          <w:spacing w:val="-5"/>
        </w:rPr>
        <w:t>1970  </w:t>
      </w:r>
      <w:r>
        <w:rPr>
          <w:color w:val="231F20"/>
        </w:rPr>
        <w:t>Rolf Hänggi started his career as a financial and investment analyst at Swiss Bank Corporation, Switzerland, before moving on to the Union Bank of Switzerland and then to the Baselland Cantonal Bank, Switzerland. In </w:t>
      </w:r>
      <w:r>
        <w:rPr>
          <w:color w:val="231F20"/>
          <w:spacing w:val="-5"/>
        </w:rPr>
        <w:t>1976</w:t>
      </w:r>
      <w:r>
        <w:rPr>
          <w:color w:val="231F20"/>
          <w:spacing w:val="39"/>
        </w:rPr>
        <w:t> </w:t>
      </w:r>
      <w:r>
        <w:rPr>
          <w:color w:val="231F20"/>
        </w:rPr>
        <w:t>he</w:t>
      </w:r>
    </w:p>
    <w:p>
      <w:pPr>
        <w:pStyle w:val="BodyText"/>
        <w:spacing w:line="207" w:lineRule="exact"/>
        <w:ind w:left="186"/>
      </w:pPr>
      <w:r>
        <w:rPr>
          <w:color w:val="231F20"/>
          <w:w w:val="105"/>
        </w:rPr>
        <w:t>joined Zurich Insurance Company and in 1986 became</w:t>
      </w:r>
    </w:p>
    <w:p>
      <w:pPr>
        <w:pStyle w:val="BodyText"/>
        <w:spacing w:line="276" w:lineRule="auto" w:before="31"/>
        <w:ind w:left="186" w:right="62"/>
      </w:pPr>
      <w:r>
        <w:rPr>
          <w:color w:val="231F20"/>
          <w:w w:val="105"/>
        </w:rPr>
        <w:t>a member of the Corporate Executive Board and Head of finance and investments in securities, worldwide. He was appointed Deputy CEO of Zurich Insurance Company in 1988, serving as a Board member from 1993 to 1997, before becoming a private consultant. In 1996, he was elected to the Board of Roche Holding Ltd, Switzerland, and served</w:t>
      </w:r>
    </w:p>
    <w:p>
      <w:pPr>
        <w:spacing w:after="0" w:line="276" w:lineRule="auto"/>
        <w:sectPr>
          <w:type w:val="continuous"/>
          <w:pgSz w:w="11910" w:h="14750"/>
          <w:pgMar w:top="540" w:bottom="280" w:left="460" w:right="460"/>
          <w:cols w:num="2" w:equalWidth="0">
            <w:col w:w="5607" w:space="40"/>
            <w:col w:w="5343"/>
          </w:cols>
        </w:sectPr>
      </w:pPr>
    </w:p>
    <w:p>
      <w:pPr>
        <w:pStyle w:val="BodyText"/>
        <w:rPr>
          <w:sz w:val="20"/>
        </w:rPr>
      </w:pPr>
    </w:p>
    <w:p>
      <w:pPr>
        <w:pStyle w:val="BodyText"/>
        <w:rPr>
          <w:sz w:val="20"/>
        </w:rPr>
      </w:pPr>
    </w:p>
    <w:p>
      <w:pPr>
        <w:pStyle w:val="BodyText"/>
        <w:spacing w:before="9"/>
        <w:rPr>
          <w:sz w:val="15"/>
        </w:rPr>
      </w:pPr>
    </w:p>
    <w:p>
      <w:pPr>
        <w:spacing w:after="0"/>
        <w:rPr>
          <w:sz w:val="15"/>
        </w:rPr>
        <w:sectPr>
          <w:pgSz w:w="11910" w:h="14750"/>
          <w:pgMar w:header="642" w:footer="509" w:top="840" w:bottom="700" w:left="460" w:right="460"/>
        </w:sectPr>
      </w:pPr>
    </w:p>
    <w:p>
      <w:pPr>
        <w:pStyle w:val="BodyText"/>
        <w:spacing w:line="276" w:lineRule="auto" w:before="108"/>
        <w:ind w:left="106" w:right="129"/>
      </w:pPr>
      <w:r>
        <w:rPr>
          <w:color w:val="231F20"/>
        </w:rPr>
        <w:t>as Vice Chairman until 2006. From 1994 to April 2009, Rolf Hänggi also served as Chairman of Rüd, Blass &amp; Cie AG, Bankers, Switzerland.</w:t>
      </w:r>
    </w:p>
    <w:p>
      <w:pPr>
        <w:pStyle w:val="BodyText"/>
        <w:spacing w:line="276" w:lineRule="auto"/>
        <w:ind w:left="106" w:right="129" w:firstLine="226"/>
      </w:pPr>
      <w:r>
        <w:rPr>
          <w:color w:val="231F20"/>
        </w:rPr>
        <w:t>Presently, he is a member of the Board of Trustees of the Foundation Luftbild Schweiz, Switzerland; he was a member of the Foundation Board, Werner Abegg-Fonds, Switzerland until the end of the year </w:t>
      </w:r>
      <w:r>
        <w:rPr>
          <w:color w:val="231F20"/>
          <w:spacing w:val="-10"/>
        </w:rPr>
        <w:t>2011; </w:t>
      </w:r>
      <w:r>
        <w:rPr>
          <w:color w:val="231F20"/>
        </w:rPr>
        <w:t>and sits on the Advisory Board for the Mastercourse of Advanced Studies in Applied History at the University of Zurich,</w:t>
      </w:r>
      <w:r>
        <w:rPr>
          <w:color w:val="231F20"/>
          <w:spacing w:val="-11"/>
        </w:rPr>
        <w:t> </w:t>
      </w:r>
      <w:r>
        <w:rPr>
          <w:color w:val="231F20"/>
        </w:rPr>
        <w:t>Switzerland.</w:t>
      </w:r>
    </w:p>
    <w:p>
      <w:pPr>
        <w:pStyle w:val="BodyText"/>
        <w:rPr>
          <w:sz w:val="22"/>
        </w:rPr>
      </w:pPr>
    </w:p>
    <w:p>
      <w:pPr>
        <w:pStyle w:val="BodyText"/>
        <w:spacing w:before="1"/>
        <w:rPr>
          <w:sz w:val="19"/>
        </w:rPr>
      </w:pPr>
    </w:p>
    <w:p>
      <w:pPr>
        <w:pStyle w:val="Heading3"/>
        <w:ind w:left="106"/>
      </w:pPr>
      <w:r>
        <w:rPr/>
        <w:drawing>
          <wp:anchor distT="0" distB="0" distL="0" distR="0" allowOverlap="1" layoutInCell="1" locked="0" behindDoc="0" simplePos="0" relativeHeight="1672">
            <wp:simplePos x="0" y="0"/>
            <wp:positionH relativeFrom="page">
              <wp:posOffset>2591993</wp:posOffset>
            </wp:positionH>
            <wp:positionV relativeFrom="paragraph">
              <wp:posOffset>107323</wp:posOffset>
            </wp:positionV>
            <wp:extent cx="972007" cy="914400"/>
            <wp:effectExtent l="0" t="0" r="0" b="0"/>
            <wp:wrapNone/>
            <wp:docPr id="11" name="image21.png" descr=""/>
            <wp:cNvGraphicFramePr>
              <a:graphicFrameLocks noChangeAspect="1"/>
            </wp:cNvGraphicFramePr>
            <a:graphic>
              <a:graphicData uri="http://schemas.openxmlformats.org/drawingml/2006/picture">
                <pic:pic>
                  <pic:nvPicPr>
                    <pic:cNvPr id="12" name="image21.png"/>
                    <pic:cNvPicPr/>
                  </pic:nvPicPr>
                  <pic:blipFill>
                    <a:blip r:embed="rId42" cstate="print"/>
                    <a:stretch>
                      <a:fillRect/>
                    </a:stretch>
                  </pic:blipFill>
                  <pic:spPr>
                    <a:xfrm>
                      <a:off x="0" y="0"/>
                      <a:ext cx="972007" cy="914400"/>
                    </a:xfrm>
                    <a:prstGeom prst="rect">
                      <a:avLst/>
                    </a:prstGeom>
                  </pic:spPr>
                </pic:pic>
              </a:graphicData>
            </a:graphic>
          </wp:anchor>
        </w:drawing>
      </w:r>
      <w:r>
        <w:rPr>
          <w:color w:val="231F20"/>
          <w:w w:val="115"/>
        </w:rPr>
        <w:t>Beat Hess</w:t>
      </w:r>
    </w:p>
    <w:p>
      <w:pPr>
        <w:pStyle w:val="BodyText"/>
        <w:spacing w:line="276" w:lineRule="auto" w:before="31"/>
        <w:ind w:left="106" w:right="1886"/>
      </w:pPr>
      <w:r>
        <w:rPr>
          <w:color w:val="231F20"/>
          <w:w w:val="105"/>
        </w:rPr>
        <w:t>Beat Hess started his career in 1977 at BBC Brown Boveri Ltd in Baden as</w:t>
      </w:r>
    </w:p>
    <w:p>
      <w:pPr>
        <w:pStyle w:val="BodyText"/>
        <w:spacing w:line="276" w:lineRule="auto"/>
        <w:ind w:left="106" w:right="1886"/>
      </w:pPr>
      <w:r>
        <w:rPr>
          <w:color w:val="231F20"/>
        </w:rPr>
        <w:t>Legal Counsel where he was promoted to General Counsel in 1986. From 1988 to 2003, he was Senior Group Officer, General Counsel  and  Secretary  for ABB</w:t>
      </w:r>
      <w:r>
        <w:rPr>
          <w:color w:val="231F20"/>
          <w:spacing w:val="11"/>
        </w:rPr>
        <w:t> </w:t>
      </w:r>
      <w:r>
        <w:rPr>
          <w:color w:val="231F20"/>
        </w:rPr>
        <w:t>Ltd</w:t>
      </w:r>
      <w:r>
        <w:rPr>
          <w:color w:val="231F20"/>
          <w:spacing w:val="12"/>
        </w:rPr>
        <w:t> </w:t>
      </w:r>
      <w:r>
        <w:rPr>
          <w:color w:val="231F20"/>
        </w:rPr>
        <w:t>in</w:t>
      </w:r>
      <w:r>
        <w:rPr>
          <w:color w:val="231F20"/>
          <w:spacing w:val="12"/>
        </w:rPr>
        <w:t> </w:t>
      </w:r>
      <w:r>
        <w:rPr>
          <w:color w:val="231F20"/>
        </w:rPr>
        <w:t>Zurich.</w:t>
      </w:r>
      <w:r>
        <w:rPr>
          <w:color w:val="231F20"/>
          <w:spacing w:val="12"/>
        </w:rPr>
        <w:t> </w:t>
      </w:r>
      <w:r>
        <w:rPr>
          <w:color w:val="231F20"/>
        </w:rPr>
        <w:t>From</w:t>
      </w:r>
      <w:r>
        <w:rPr>
          <w:color w:val="231F20"/>
          <w:spacing w:val="12"/>
        </w:rPr>
        <w:t> </w:t>
      </w:r>
      <w:r>
        <w:rPr>
          <w:color w:val="231F20"/>
        </w:rPr>
        <w:t>2003</w:t>
      </w:r>
      <w:r>
        <w:rPr>
          <w:color w:val="231F20"/>
          <w:spacing w:val="11"/>
        </w:rPr>
        <w:t> </w:t>
      </w:r>
      <w:r>
        <w:rPr>
          <w:color w:val="231F20"/>
        </w:rPr>
        <w:t>until</w:t>
      </w:r>
      <w:r>
        <w:rPr>
          <w:color w:val="231F20"/>
          <w:spacing w:val="12"/>
        </w:rPr>
        <w:t> </w:t>
      </w:r>
      <w:r>
        <w:rPr>
          <w:color w:val="231F20"/>
        </w:rPr>
        <w:t>his</w:t>
      </w:r>
    </w:p>
    <w:p>
      <w:pPr>
        <w:pStyle w:val="BodyText"/>
        <w:spacing w:line="276" w:lineRule="auto"/>
        <w:ind w:left="106" w:right="224"/>
      </w:pPr>
      <w:r>
        <w:rPr>
          <w:color w:val="231F20"/>
        </w:rPr>
        <w:t>retirement in January </w:t>
      </w:r>
      <w:r>
        <w:rPr>
          <w:color w:val="231F20"/>
          <w:spacing w:val="-8"/>
        </w:rPr>
        <w:t>2011, </w:t>
      </w:r>
      <w:r>
        <w:rPr>
          <w:color w:val="231F20"/>
        </w:rPr>
        <w:t>Beat Hess was Group Legal Director and a member of the Group Executive Committee of Royal Dutch Shell plc, The Hague, The</w:t>
      </w:r>
      <w:r>
        <w:rPr>
          <w:color w:val="231F20"/>
          <w:spacing w:val="53"/>
        </w:rPr>
        <w:t> </w:t>
      </w:r>
      <w:r>
        <w:rPr>
          <w:color w:val="231F20"/>
        </w:rPr>
        <w:t>Netherlands.</w:t>
      </w:r>
    </w:p>
    <w:p>
      <w:pPr>
        <w:pStyle w:val="BodyText"/>
        <w:spacing w:line="276" w:lineRule="auto"/>
        <w:ind w:left="106" w:right="129" w:firstLine="226"/>
      </w:pPr>
      <w:r>
        <w:rPr>
          <w:color w:val="231F20"/>
          <w:w w:val="105"/>
        </w:rPr>
        <w:t>Beat Hess is a member of the Board and Vice Chairman of Holcim Ltd, as well as a member of the Board and Vice Chairman of Sonova Holding AG, Switzerland. He is also</w:t>
      </w:r>
    </w:p>
    <w:p>
      <w:pPr>
        <w:pStyle w:val="BodyText"/>
        <w:spacing w:line="208" w:lineRule="exact"/>
        <w:ind w:left="106"/>
      </w:pPr>
      <w:r>
        <w:rPr>
          <w:color w:val="231F20"/>
        </w:rPr>
        <w:t>a member of The Hague Academy of International Law.</w:t>
      </w:r>
    </w:p>
    <w:p>
      <w:pPr>
        <w:pStyle w:val="BodyText"/>
        <w:rPr>
          <w:sz w:val="22"/>
        </w:rPr>
      </w:pPr>
    </w:p>
    <w:p>
      <w:pPr>
        <w:pStyle w:val="BodyText"/>
        <w:spacing w:before="8"/>
        <w:rPr>
          <w:sz w:val="21"/>
        </w:rPr>
      </w:pPr>
    </w:p>
    <w:p>
      <w:pPr>
        <w:pStyle w:val="Heading3"/>
        <w:ind w:left="106"/>
      </w:pPr>
      <w:r>
        <w:rPr/>
        <w:drawing>
          <wp:anchor distT="0" distB="0" distL="0" distR="0" allowOverlap="1" layoutInCell="1" locked="0" behindDoc="0" simplePos="0" relativeHeight="1696">
            <wp:simplePos x="0" y="0"/>
            <wp:positionH relativeFrom="page">
              <wp:posOffset>2591993</wp:posOffset>
            </wp:positionH>
            <wp:positionV relativeFrom="paragraph">
              <wp:posOffset>107311</wp:posOffset>
            </wp:positionV>
            <wp:extent cx="972007" cy="914412"/>
            <wp:effectExtent l="0" t="0" r="0" b="0"/>
            <wp:wrapNone/>
            <wp:docPr id="13" name="image22.png" descr=""/>
            <wp:cNvGraphicFramePr>
              <a:graphicFrameLocks noChangeAspect="1"/>
            </wp:cNvGraphicFramePr>
            <a:graphic>
              <a:graphicData uri="http://schemas.openxmlformats.org/drawingml/2006/picture">
                <pic:pic>
                  <pic:nvPicPr>
                    <pic:cNvPr id="14" name="image22.png"/>
                    <pic:cNvPicPr/>
                  </pic:nvPicPr>
                  <pic:blipFill>
                    <a:blip r:embed="rId43" cstate="print"/>
                    <a:stretch>
                      <a:fillRect/>
                    </a:stretch>
                  </pic:blipFill>
                  <pic:spPr>
                    <a:xfrm>
                      <a:off x="0" y="0"/>
                      <a:ext cx="972007" cy="914412"/>
                    </a:xfrm>
                    <a:prstGeom prst="rect">
                      <a:avLst/>
                    </a:prstGeom>
                  </pic:spPr>
                </pic:pic>
              </a:graphicData>
            </a:graphic>
          </wp:anchor>
        </w:drawing>
      </w:r>
      <w:r>
        <w:rPr>
          <w:color w:val="231F20"/>
          <w:w w:val="105"/>
        </w:rPr>
        <w:t>Daniel Borel</w:t>
      </w:r>
    </w:p>
    <w:p>
      <w:pPr>
        <w:pStyle w:val="BodyText"/>
        <w:spacing w:line="276" w:lineRule="auto" w:before="31"/>
        <w:ind w:left="106" w:right="1722"/>
      </w:pPr>
      <w:r>
        <w:rPr>
          <w:color w:val="231F20"/>
          <w:w w:val="105"/>
        </w:rPr>
        <w:t>Daniel Borel is the co-founder of Logitech. He served as Chairman and CEO of Logitech S.A. from 1982 to 1988 and of Logitech International S.A.</w:t>
      </w:r>
    </w:p>
    <w:p>
      <w:pPr>
        <w:pStyle w:val="BodyText"/>
        <w:spacing w:line="276" w:lineRule="auto"/>
        <w:ind w:left="106" w:right="1908"/>
      </w:pPr>
      <w:r>
        <w:rPr>
          <w:color w:val="231F20"/>
          <w:w w:val="105"/>
        </w:rPr>
        <w:t>from 1992 to 1998. Since 1998, he has served as Chairman of Logitech International</w:t>
      </w:r>
      <w:r>
        <w:rPr>
          <w:color w:val="231F20"/>
          <w:spacing w:val="-10"/>
          <w:w w:val="105"/>
        </w:rPr>
        <w:t> </w:t>
      </w:r>
      <w:r>
        <w:rPr>
          <w:color w:val="231F20"/>
          <w:w w:val="105"/>
        </w:rPr>
        <w:t>S.A.</w:t>
      </w:r>
      <w:r>
        <w:rPr>
          <w:color w:val="231F20"/>
          <w:spacing w:val="-10"/>
          <w:w w:val="105"/>
        </w:rPr>
        <w:t> </w:t>
      </w:r>
      <w:r>
        <w:rPr>
          <w:color w:val="231F20"/>
          <w:w w:val="105"/>
        </w:rPr>
        <w:t>As</w:t>
      </w:r>
      <w:r>
        <w:rPr>
          <w:color w:val="231F20"/>
          <w:spacing w:val="-10"/>
          <w:w w:val="105"/>
        </w:rPr>
        <w:t> </w:t>
      </w:r>
      <w:r>
        <w:rPr>
          <w:color w:val="231F20"/>
          <w:w w:val="105"/>
        </w:rPr>
        <w:t>of</w:t>
      </w:r>
      <w:r>
        <w:rPr>
          <w:color w:val="231F20"/>
          <w:spacing w:val="-10"/>
          <w:w w:val="105"/>
        </w:rPr>
        <w:t> </w:t>
      </w:r>
      <w:r>
        <w:rPr>
          <w:color w:val="231F20"/>
          <w:w w:val="105"/>
        </w:rPr>
        <w:t>January</w:t>
      </w:r>
      <w:r>
        <w:rPr>
          <w:color w:val="231F20"/>
          <w:spacing w:val="-9"/>
          <w:w w:val="105"/>
        </w:rPr>
        <w:t> </w:t>
      </w:r>
      <w:r>
        <w:rPr>
          <w:color w:val="231F20"/>
          <w:w w:val="105"/>
        </w:rPr>
        <w:t>2008,</w:t>
      </w:r>
    </w:p>
    <w:p>
      <w:pPr>
        <w:pStyle w:val="BodyText"/>
        <w:spacing w:line="276" w:lineRule="auto"/>
        <w:ind w:left="106" w:right="224"/>
      </w:pPr>
      <w:r>
        <w:rPr>
          <w:color w:val="231F20"/>
        </w:rPr>
        <w:t>Daniel Borel handed over the office of Chairman remaining a member of the Board of Directors of Logitech  International</w:t>
      </w:r>
      <w:r>
        <w:rPr>
          <w:color w:val="231F20"/>
          <w:spacing w:val="-3"/>
        </w:rPr>
        <w:t> </w:t>
      </w:r>
      <w:r>
        <w:rPr>
          <w:color w:val="231F20"/>
        </w:rPr>
        <w:t>S.A.</w:t>
      </w:r>
    </w:p>
    <w:p>
      <w:pPr>
        <w:pStyle w:val="BodyText"/>
        <w:spacing w:line="276" w:lineRule="auto"/>
        <w:ind w:left="106" w:right="334" w:firstLine="226"/>
      </w:pPr>
      <w:r>
        <w:rPr>
          <w:color w:val="231F20"/>
        </w:rPr>
        <w:t>In addition, he is President of the EPFL Plus Foundation and serves as Chairman of swissUp, a Foundation for Excellence in Education in Switzerland, and is a member   of the Board of Defitech Foundation,</w:t>
      </w:r>
      <w:r>
        <w:rPr>
          <w:color w:val="231F20"/>
          <w:spacing w:val="9"/>
        </w:rPr>
        <w:t> </w:t>
      </w:r>
      <w:r>
        <w:rPr>
          <w:color w:val="231F20"/>
        </w:rPr>
        <w:t>Switzerland.</w:t>
      </w:r>
    </w:p>
    <w:p>
      <w:pPr>
        <w:pStyle w:val="Heading3"/>
        <w:spacing w:before="108"/>
        <w:ind w:left="106"/>
      </w:pPr>
      <w:r>
        <w:rPr>
          <w:b w:val="0"/>
        </w:rPr>
        <w:br w:type="column"/>
      </w:r>
      <w:r>
        <w:rPr>
          <w:color w:val="231F20"/>
          <w:w w:val="110"/>
        </w:rPr>
        <w:t>Jean-Pierre Meyers</w:t>
      </w:r>
    </w:p>
    <w:p>
      <w:pPr>
        <w:pStyle w:val="BodyText"/>
        <w:spacing w:line="276" w:lineRule="auto" w:before="31"/>
        <w:ind w:left="106" w:right="2384"/>
      </w:pPr>
      <w:r>
        <w:rPr/>
        <w:drawing>
          <wp:anchor distT="0" distB="0" distL="0" distR="0" allowOverlap="1" layoutInCell="1" locked="0" behindDoc="0" simplePos="0" relativeHeight="1720">
            <wp:simplePos x="0" y="0"/>
            <wp:positionH relativeFrom="page">
              <wp:posOffset>5939993</wp:posOffset>
            </wp:positionH>
            <wp:positionV relativeFrom="paragraph">
              <wp:posOffset>-25391</wp:posOffset>
            </wp:positionV>
            <wp:extent cx="972007" cy="914400"/>
            <wp:effectExtent l="0" t="0" r="0" b="0"/>
            <wp:wrapNone/>
            <wp:docPr id="15" name="image23.png" descr=""/>
            <wp:cNvGraphicFramePr>
              <a:graphicFrameLocks noChangeAspect="1"/>
            </wp:cNvGraphicFramePr>
            <a:graphic>
              <a:graphicData uri="http://schemas.openxmlformats.org/drawingml/2006/picture">
                <pic:pic>
                  <pic:nvPicPr>
                    <pic:cNvPr id="16" name="image23.png"/>
                    <pic:cNvPicPr/>
                  </pic:nvPicPr>
                  <pic:blipFill>
                    <a:blip r:embed="rId44" cstate="print"/>
                    <a:stretch>
                      <a:fillRect/>
                    </a:stretch>
                  </pic:blipFill>
                  <pic:spPr>
                    <a:xfrm>
                      <a:off x="0" y="0"/>
                      <a:ext cx="972007" cy="914400"/>
                    </a:xfrm>
                    <a:prstGeom prst="rect">
                      <a:avLst/>
                    </a:prstGeom>
                  </pic:spPr>
                </pic:pic>
              </a:graphicData>
            </a:graphic>
          </wp:anchor>
        </w:drawing>
      </w:r>
      <w:r>
        <w:rPr>
          <w:color w:val="231F20"/>
        </w:rPr>
        <w:t>From 1972 to 1980, Jean-Pierre Meyers was attached to the directorate of financial affairs at Société Générale.</w:t>
      </w:r>
    </w:p>
    <w:p>
      <w:pPr>
        <w:pStyle w:val="BodyText"/>
        <w:spacing w:line="276" w:lineRule="auto"/>
        <w:ind w:left="106" w:right="2384"/>
      </w:pPr>
      <w:r>
        <w:rPr>
          <w:color w:val="231F20"/>
        </w:rPr>
        <w:t>During the same time he was Assistant Professor at the Ecole Supérieure de Commerce in Rouen, France.  From 1980 to 1984, he was a Director of</w:t>
      </w:r>
      <w:r>
        <w:rPr>
          <w:color w:val="231F20"/>
          <w:spacing w:val="7"/>
        </w:rPr>
        <w:t> </w:t>
      </w:r>
      <w:r>
        <w:rPr>
          <w:color w:val="231F20"/>
        </w:rPr>
        <w:t>the</w:t>
      </w:r>
    </w:p>
    <w:p>
      <w:pPr>
        <w:pStyle w:val="BodyText"/>
        <w:spacing w:line="276" w:lineRule="auto"/>
        <w:ind w:left="106" w:right="590"/>
      </w:pPr>
      <w:r>
        <w:rPr>
          <w:color w:val="231F20"/>
        </w:rPr>
        <w:t>bank Odier Bungener Courvoisier. Jean-Pierre Meyers has been a Board member of </w:t>
      </w:r>
      <w:r>
        <w:rPr>
          <w:color w:val="231F20"/>
          <w:spacing w:val="-4"/>
        </w:rPr>
        <w:t>L’Oréal </w:t>
      </w:r>
      <w:r>
        <w:rPr>
          <w:color w:val="231F20"/>
        </w:rPr>
        <w:t>S.A., France, since 1987  and Vice Chairman since 1994. He has also served as Vice </w:t>
      </w:r>
      <w:r>
        <w:rPr>
          <w:color w:val="231F20"/>
          <w:spacing w:val="-3"/>
        </w:rPr>
        <w:t>Chairman</w:t>
      </w:r>
      <w:r>
        <w:rPr>
          <w:color w:val="231F20"/>
          <w:spacing w:val="13"/>
        </w:rPr>
        <w:t> </w:t>
      </w:r>
      <w:r>
        <w:rPr>
          <w:color w:val="231F20"/>
          <w:spacing w:val="-3"/>
        </w:rPr>
        <w:t>of</w:t>
      </w:r>
      <w:r>
        <w:rPr>
          <w:color w:val="231F20"/>
          <w:spacing w:val="13"/>
        </w:rPr>
        <w:t> </w:t>
      </w:r>
      <w:r>
        <w:rPr>
          <w:color w:val="231F20"/>
        </w:rPr>
        <w:t>the</w:t>
      </w:r>
      <w:r>
        <w:rPr>
          <w:color w:val="231F20"/>
          <w:spacing w:val="14"/>
        </w:rPr>
        <w:t> </w:t>
      </w:r>
      <w:r>
        <w:rPr>
          <w:color w:val="231F20"/>
          <w:spacing w:val="-3"/>
        </w:rPr>
        <w:t>Bettencourt-Schueller</w:t>
      </w:r>
      <w:r>
        <w:rPr>
          <w:color w:val="231F20"/>
          <w:spacing w:val="13"/>
        </w:rPr>
        <w:t> </w:t>
      </w:r>
      <w:r>
        <w:rPr>
          <w:color w:val="231F20"/>
          <w:spacing w:val="-3"/>
        </w:rPr>
        <w:t>Foundation</w:t>
      </w:r>
      <w:r>
        <w:rPr>
          <w:color w:val="231F20"/>
          <w:spacing w:val="14"/>
        </w:rPr>
        <w:t> </w:t>
      </w:r>
      <w:r>
        <w:rPr>
          <w:color w:val="231F20"/>
          <w:spacing w:val="-3"/>
        </w:rPr>
        <w:t>since</w:t>
      </w:r>
      <w:r>
        <w:rPr>
          <w:color w:val="231F20"/>
          <w:spacing w:val="13"/>
        </w:rPr>
        <w:t> </w:t>
      </w:r>
      <w:r>
        <w:rPr>
          <w:color w:val="231F20"/>
          <w:spacing w:val="-4"/>
        </w:rPr>
        <w:t>1988.</w:t>
      </w:r>
    </w:p>
    <w:p>
      <w:pPr>
        <w:pStyle w:val="BodyText"/>
        <w:spacing w:line="276" w:lineRule="auto"/>
        <w:ind w:left="106" w:right="785" w:firstLine="226"/>
      </w:pPr>
      <w:r>
        <w:rPr>
          <w:color w:val="231F20"/>
          <w:w w:val="105"/>
        </w:rPr>
        <w:t>In addition, Jean-Pierre Meyers is CEO and a member of the Supervisory Board of Téthys S.A.S. in France.</w:t>
      </w:r>
    </w:p>
    <w:p>
      <w:pPr>
        <w:pStyle w:val="BodyText"/>
        <w:rPr>
          <w:sz w:val="22"/>
        </w:rPr>
      </w:pPr>
    </w:p>
    <w:p>
      <w:pPr>
        <w:pStyle w:val="BodyText"/>
        <w:spacing w:before="11"/>
      </w:pPr>
    </w:p>
    <w:p>
      <w:pPr>
        <w:pStyle w:val="Heading3"/>
        <w:ind w:left="106"/>
      </w:pPr>
      <w:r>
        <w:rPr/>
        <w:drawing>
          <wp:anchor distT="0" distB="0" distL="0" distR="0" allowOverlap="1" layoutInCell="1" locked="0" behindDoc="0" simplePos="0" relativeHeight="1744">
            <wp:simplePos x="0" y="0"/>
            <wp:positionH relativeFrom="page">
              <wp:posOffset>5939993</wp:posOffset>
            </wp:positionH>
            <wp:positionV relativeFrom="paragraph">
              <wp:posOffset>107311</wp:posOffset>
            </wp:positionV>
            <wp:extent cx="972007" cy="914412"/>
            <wp:effectExtent l="0" t="0" r="0" b="0"/>
            <wp:wrapNone/>
            <wp:docPr id="17" name="image24.png" descr=""/>
            <wp:cNvGraphicFramePr>
              <a:graphicFrameLocks noChangeAspect="1"/>
            </wp:cNvGraphicFramePr>
            <a:graphic>
              <a:graphicData uri="http://schemas.openxmlformats.org/drawingml/2006/picture">
                <pic:pic>
                  <pic:nvPicPr>
                    <pic:cNvPr id="18" name="image24.png"/>
                    <pic:cNvPicPr/>
                  </pic:nvPicPr>
                  <pic:blipFill>
                    <a:blip r:embed="rId45" cstate="print"/>
                    <a:stretch>
                      <a:fillRect/>
                    </a:stretch>
                  </pic:blipFill>
                  <pic:spPr>
                    <a:xfrm>
                      <a:off x="0" y="0"/>
                      <a:ext cx="972007" cy="914412"/>
                    </a:xfrm>
                    <a:prstGeom prst="rect">
                      <a:avLst/>
                    </a:prstGeom>
                  </pic:spPr>
                </pic:pic>
              </a:graphicData>
            </a:graphic>
          </wp:anchor>
        </w:drawing>
      </w:r>
      <w:r>
        <w:rPr>
          <w:color w:val="231F20"/>
          <w:w w:val="110"/>
        </w:rPr>
        <w:t>Steven G. Hoch</w:t>
      </w:r>
    </w:p>
    <w:p>
      <w:pPr>
        <w:pStyle w:val="BodyText"/>
        <w:spacing w:line="276" w:lineRule="auto" w:before="31"/>
        <w:ind w:left="106" w:right="2328"/>
      </w:pPr>
      <w:r>
        <w:rPr>
          <w:color w:val="231F20"/>
        </w:rPr>
        <w:t>Steven G. Hoch started his career in </w:t>
      </w:r>
      <w:r>
        <w:rPr>
          <w:color w:val="231F20"/>
          <w:spacing w:val="-4"/>
        </w:rPr>
        <w:t>1978 </w:t>
      </w:r>
      <w:r>
        <w:rPr>
          <w:color w:val="231F20"/>
        </w:rPr>
        <w:t>at the Chemical Bank in New </w:t>
      </w:r>
      <w:r>
        <w:rPr>
          <w:color w:val="231F20"/>
          <w:spacing w:val="-3"/>
        </w:rPr>
        <w:t>York </w:t>
      </w:r>
      <w:r>
        <w:rPr>
          <w:color w:val="231F20"/>
        </w:rPr>
        <w:t>and Zurich, where he held a series of positions in commercial banking, principally advising multi-national companies.  Steven  G.  Hoch  was Senior</w:t>
      </w:r>
      <w:r>
        <w:rPr>
          <w:color w:val="231F20"/>
          <w:spacing w:val="15"/>
        </w:rPr>
        <w:t> </w:t>
      </w:r>
      <w:r>
        <w:rPr>
          <w:color w:val="231F20"/>
        </w:rPr>
        <w:t>Vice</w:t>
      </w:r>
      <w:r>
        <w:rPr>
          <w:color w:val="231F20"/>
          <w:spacing w:val="14"/>
        </w:rPr>
        <w:t> </w:t>
      </w:r>
      <w:r>
        <w:rPr>
          <w:color w:val="231F20"/>
        </w:rPr>
        <w:t>President</w:t>
      </w:r>
      <w:r>
        <w:rPr>
          <w:color w:val="231F20"/>
          <w:spacing w:val="15"/>
        </w:rPr>
        <w:t> </w:t>
      </w:r>
      <w:r>
        <w:rPr>
          <w:color w:val="231F20"/>
        </w:rPr>
        <w:t>and</w:t>
      </w:r>
      <w:r>
        <w:rPr>
          <w:color w:val="231F20"/>
          <w:spacing w:val="15"/>
        </w:rPr>
        <w:t> </w:t>
      </w:r>
      <w:r>
        <w:rPr>
          <w:color w:val="231F20"/>
        </w:rPr>
        <w:t>a</w:t>
      </w:r>
      <w:r>
        <w:rPr>
          <w:color w:val="231F20"/>
          <w:spacing w:val="15"/>
        </w:rPr>
        <w:t> </w:t>
      </w:r>
      <w:r>
        <w:rPr>
          <w:color w:val="231F20"/>
        </w:rPr>
        <w:t>member</w:t>
      </w:r>
      <w:r>
        <w:rPr>
          <w:color w:val="231F20"/>
          <w:spacing w:val="15"/>
        </w:rPr>
        <w:t> </w:t>
      </w:r>
      <w:r>
        <w:rPr>
          <w:color w:val="231F20"/>
        </w:rPr>
        <w:t>of</w:t>
      </w:r>
    </w:p>
    <w:p>
      <w:pPr>
        <w:pStyle w:val="BodyText"/>
        <w:spacing w:line="276" w:lineRule="auto"/>
        <w:ind w:left="106" w:right="590"/>
      </w:pPr>
      <w:r>
        <w:rPr>
          <w:color w:val="231F20"/>
        </w:rPr>
        <w:t>the Management Committee at Bessemer Trust Company, N.A., New York, from 1990 to 1994, and a member of the Executive Committee and Head of Client Service at Pell Rudman Trust Company, Boston, from 1994 to 2002.</w:t>
      </w:r>
    </w:p>
    <w:p>
      <w:pPr>
        <w:pStyle w:val="BodyText"/>
        <w:spacing w:line="276" w:lineRule="auto"/>
        <w:ind w:left="106" w:right="785"/>
      </w:pPr>
      <w:r>
        <w:rPr>
          <w:color w:val="231F20"/>
          <w:w w:val="105"/>
        </w:rPr>
        <w:t>In 2002, he founded Highmount Capital, LLC, a US-based investment management firm where he is CEO.</w:t>
      </w:r>
    </w:p>
    <w:p>
      <w:pPr>
        <w:pStyle w:val="BodyText"/>
        <w:spacing w:line="276" w:lineRule="auto"/>
        <w:ind w:left="106" w:right="842" w:firstLine="226"/>
      </w:pPr>
      <w:r>
        <w:rPr>
          <w:color w:val="231F20"/>
          <w:w w:val="105"/>
        </w:rPr>
        <w:t>Steven G. Hoch is Chairman of the American Swiss Foundation and a member of the Executive Committee as</w:t>
      </w:r>
      <w:r>
        <w:rPr>
          <w:color w:val="231F20"/>
          <w:spacing w:val="-14"/>
          <w:w w:val="105"/>
        </w:rPr>
        <w:t> </w:t>
      </w:r>
      <w:r>
        <w:rPr>
          <w:color w:val="231F20"/>
          <w:w w:val="105"/>
        </w:rPr>
        <w:t>well</w:t>
      </w:r>
      <w:r>
        <w:rPr>
          <w:color w:val="231F20"/>
          <w:spacing w:val="-14"/>
          <w:w w:val="105"/>
        </w:rPr>
        <w:t> </w:t>
      </w:r>
      <w:r>
        <w:rPr>
          <w:color w:val="231F20"/>
          <w:w w:val="105"/>
        </w:rPr>
        <w:t>as</w:t>
      </w:r>
      <w:r>
        <w:rPr>
          <w:color w:val="231F20"/>
          <w:spacing w:val="-14"/>
          <w:w w:val="105"/>
        </w:rPr>
        <w:t> </w:t>
      </w:r>
      <w:r>
        <w:rPr>
          <w:color w:val="231F20"/>
          <w:w w:val="105"/>
        </w:rPr>
        <w:t>Chairman</w:t>
      </w:r>
      <w:r>
        <w:rPr>
          <w:color w:val="231F20"/>
          <w:spacing w:val="-14"/>
          <w:w w:val="105"/>
        </w:rPr>
        <w:t> </w:t>
      </w:r>
      <w:r>
        <w:rPr>
          <w:color w:val="231F20"/>
          <w:w w:val="105"/>
        </w:rPr>
        <w:t>of</w:t>
      </w:r>
      <w:r>
        <w:rPr>
          <w:color w:val="231F20"/>
          <w:spacing w:val="-14"/>
          <w:w w:val="105"/>
        </w:rPr>
        <w:t> </w:t>
      </w:r>
      <w:r>
        <w:rPr>
          <w:color w:val="231F20"/>
          <w:w w:val="105"/>
        </w:rPr>
        <w:t>the</w:t>
      </w:r>
      <w:r>
        <w:rPr>
          <w:color w:val="231F20"/>
          <w:spacing w:val="-14"/>
          <w:w w:val="105"/>
        </w:rPr>
        <w:t> </w:t>
      </w:r>
      <w:r>
        <w:rPr>
          <w:color w:val="231F20"/>
          <w:w w:val="105"/>
        </w:rPr>
        <w:t>Investment</w:t>
      </w:r>
      <w:r>
        <w:rPr>
          <w:color w:val="231F20"/>
          <w:spacing w:val="-13"/>
          <w:w w:val="105"/>
        </w:rPr>
        <w:t> </w:t>
      </w:r>
      <w:r>
        <w:rPr>
          <w:color w:val="231F20"/>
          <w:w w:val="105"/>
        </w:rPr>
        <w:t>Committee</w:t>
      </w:r>
      <w:r>
        <w:rPr>
          <w:color w:val="231F20"/>
          <w:spacing w:val="-14"/>
          <w:w w:val="105"/>
        </w:rPr>
        <w:t> </w:t>
      </w:r>
      <w:r>
        <w:rPr>
          <w:color w:val="231F20"/>
          <w:w w:val="105"/>
        </w:rPr>
        <w:t>of</w:t>
      </w:r>
      <w:r>
        <w:rPr>
          <w:color w:val="231F20"/>
          <w:spacing w:val="-14"/>
          <w:w w:val="105"/>
        </w:rPr>
        <w:t> </w:t>
      </w:r>
      <w:r>
        <w:rPr>
          <w:color w:val="231F20"/>
          <w:w w:val="105"/>
        </w:rPr>
        <w:t>the Woods Hole Oceanographic Institution, USA. He served two terms as a member of the National Board of the Smithsonian Institution, USA, and is an Advisory Board member</w:t>
      </w:r>
      <w:r>
        <w:rPr>
          <w:color w:val="231F20"/>
          <w:spacing w:val="-19"/>
          <w:w w:val="105"/>
        </w:rPr>
        <w:t> </w:t>
      </w:r>
      <w:r>
        <w:rPr>
          <w:color w:val="231F20"/>
          <w:w w:val="105"/>
        </w:rPr>
        <w:t>of</w:t>
      </w:r>
      <w:r>
        <w:rPr>
          <w:color w:val="231F20"/>
          <w:spacing w:val="-18"/>
          <w:w w:val="105"/>
        </w:rPr>
        <w:t> </w:t>
      </w:r>
      <w:r>
        <w:rPr>
          <w:color w:val="231F20"/>
          <w:w w:val="105"/>
        </w:rPr>
        <w:t>the</w:t>
      </w:r>
      <w:r>
        <w:rPr>
          <w:color w:val="231F20"/>
          <w:spacing w:val="-18"/>
          <w:w w:val="105"/>
        </w:rPr>
        <w:t> </w:t>
      </w:r>
      <w:r>
        <w:rPr>
          <w:color w:val="231F20"/>
          <w:w w:val="105"/>
        </w:rPr>
        <w:t>Smithsonian</w:t>
      </w:r>
      <w:r>
        <w:rPr>
          <w:color w:val="231F20"/>
          <w:spacing w:val="-18"/>
          <w:w w:val="105"/>
        </w:rPr>
        <w:t> </w:t>
      </w:r>
      <w:r>
        <w:rPr>
          <w:color w:val="231F20"/>
          <w:w w:val="105"/>
        </w:rPr>
        <w:t>Tropical</w:t>
      </w:r>
      <w:r>
        <w:rPr>
          <w:color w:val="231F20"/>
          <w:spacing w:val="-19"/>
          <w:w w:val="105"/>
        </w:rPr>
        <w:t> </w:t>
      </w:r>
      <w:r>
        <w:rPr>
          <w:color w:val="231F20"/>
          <w:w w:val="105"/>
        </w:rPr>
        <w:t>Research</w:t>
      </w:r>
      <w:r>
        <w:rPr>
          <w:color w:val="231F20"/>
          <w:spacing w:val="-18"/>
          <w:w w:val="105"/>
        </w:rPr>
        <w:t> </w:t>
      </w:r>
      <w:r>
        <w:rPr>
          <w:color w:val="231F20"/>
          <w:w w:val="105"/>
        </w:rPr>
        <w:t>Institute, Panama.</w:t>
      </w:r>
    </w:p>
    <w:p>
      <w:pPr>
        <w:pStyle w:val="BodyText"/>
        <w:rPr>
          <w:sz w:val="22"/>
        </w:rPr>
      </w:pPr>
    </w:p>
    <w:p>
      <w:pPr>
        <w:pStyle w:val="BodyText"/>
        <w:spacing w:before="8"/>
      </w:pPr>
    </w:p>
    <w:p>
      <w:pPr>
        <w:pStyle w:val="Heading3"/>
        <w:ind w:left="106"/>
      </w:pPr>
      <w:r>
        <w:rPr/>
        <w:drawing>
          <wp:anchor distT="0" distB="0" distL="0" distR="0" allowOverlap="1" layoutInCell="1" locked="0" behindDoc="0" simplePos="0" relativeHeight="1768">
            <wp:simplePos x="0" y="0"/>
            <wp:positionH relativeFrom="page">
              <wp:posOffset>5939993</wp:posOffset>
            </wp:positionH>
            <wp:positionV relativeFrom="paragraph">
              <wp:posOffset>107310</wp:posOffset>
            </wp:positionV>
            <wp:extent cx="972007" cy="914412"/>
            <wp:effectExtent l="0" t="0" r="0" b="0"/>
            <wp:wrapNone/>
            <wp:docPr id="19" name="image25.png" descr=""/>
            <wp:cNvGraphicFramePr>
              <a:graphicFrameLocks noChangeAspect="1"/>
            </wp:cNvGraphicFramePr>
            <a:graphic>
              <a:graphicData uri="http://schemas.openxmlformats.org/drawingml/2006/picture">
                <pic:pic>
                  <pic:nvPicPr>
                    <pic:cNvPr id="20" name="image25.png"/>
                    <pic:cNvPicPr/>
                  </pic:nvPicPr>
                  <pic:blipFill>
                    <a:blip r:embed="rId46" cstate="print"/>
                    <a:stretch>
                      <a:fillRect/>
                    </a:stretch>
                  </pic:blipFill>
                  <pic:spPr>
                    <a:xfrm>
                      <a:off x="0" y="0"/>
                      <a:ext cx="972007" cy="914412"/>
                    </a:xfrm>
                    <a:prstGeom prst="rect">
                      <a:avLst/>
                    </a:prstGeom>
                  </pic:spPr>
                </pic:pic>
              </a:graphicData>
            </a:graphic>
          </wp:anchor>
        </w:drawing>
      </w:r>
      <w:r>
        <w:rPr>
          <w:color w:val="231F20"/>
          <w:w w:val="110"/>
        </w:rPr>
        <w:t>Naïna Lal Kidwai</w:t>
      </w:r>
    </w:p>
    <w:p>
      <w:pPr>
        <w:pStyle w:val="BodyText"/>
        <w:spacing w:line="276" w:lineRule="auto" w:before="31"/>
        <w:ind w:left="106" w:right="2585"/>
      </w:pPr>
      <w:r>
        <w:rPr>
          <w:color w:val="231F20"/>
          <w:w w:val="105"/>
        </w:rPr>
        <w:t>Naïna Lal Kidwai started her career in 1982 and until 1994 was at ANZ Grindlays Bank Plc.</w:t>
      </w:r>
    </w:p>
    <w:p>
      <w:pPr>
        <w:pStyle w:val="BodyText"/>
        <w:spacing w:line="276" w:lineRule="auto"/>
        <w:ind w:left="106" w:right="1889" w:firstLine="226"/>
      </w:pPr>
      <w:r>
        <w:rPr>
          <w:color w:val="231F20"/>
          <w:w w:val="105"/>
        </w:rPr>
        <w:t>From 1994 to 2002, she was Vice Chairperson and Head of Investment Banking at Morgan Stanley India before moving to HSBC. Currently she is</w:t>
      </w:r>
    </w:p>
    <w:p>
      <w:pPr>
        <w:pStyle w:val="BodyText"/>
        <w:spacing w:line="208" w:lineRule="exact"/>
        <w:ind w:left="106"/>
      </w:pPr>
      <w:r>
        <w:rPr>
          <w:color w:val="231F20"/>
          <w:w w:val="105"/>
        </w:rPr>
        <w:t>Country Head of the HSBC Group of Companies in India.</w:t>
      </w:r>
    </w:p>
    <w:p>
      <w:pPr>
        <w:pStyle w:val="BodyText"/>
        <w:spacing w:before="30"/>
        <w:ind w:left="106"/>
      </w:pPr>
      <w:r>
        <w:rPr>
          <w:color w:val="231F20"/>
          <w:w w:val="105"/>
        </w:rPr>
        <w:t>In 2010, she was appointed to the Board of HSBC Asia-Pacific.</w:t>
      </w:r>
    </w:p>
    <w:p>
      <w:pPr>
        <w:spacing w:after="0"/>
        <w:sectPr>
          <w:type w:val="continuous"/>
          <w:pgSz w:w="11910" w:h="14750"/>
          <w:pgMar w:top="540" w:bottom="280" w:left="460" w:right="460"/>
          <w:cols w:num="2" w:equalWidth="0">
            <w:col w:w="5193" w:space="79"/>
            <w:col w:w="5718"/>
          </w:cols>
        </w:sectPr>
      </w:pPr>
    </w:p>
    <w:p>
      <w:pPr>
        <w:pStyle w:val="BodyText"/>
        <w:rPr>
          <w:sz w:val="20"/>
        </w:rPr>
      </w:pPr>
    </w:p>
    <w:p>
      <w:pPr>
        <w:pStyle w:val="BodyText"/>
        <w:rPr>
          <w:sz w:val="20"/>
        </w:rPr>
      </w:pPr>
    </w:p>
    <w:p>
      <w:pPr>
        <w:pStyle w:val="BodyText"/>
        <w:spacing w:before="11"/>
        <w:rPr>
          <w:sz w:val="15"/>
        </w:rPr>
      </w:pPr>
    </w:p>
    <w:p>
      <w:pPr>
        <w:spacing w:after="0"/>
        <w:rPr>
          <w:sz w:val="15"/>
        </w:rPr>
        <w:sectPr>
          <w:pgSz w:w="11910" w:h="14750"/>
          <w:pgMar w:header="642" w:footer="509" w:top="840" w:bottom="700" w:left="460" w:right="460"/>
        </w:sectPr>
      </w:pPr>
    </w:p>
    <w:p>
      <w:pPr>
        <w:pStyle w:val="BodyText"/>
        <w:spacing w:line="276" w:lineRule="auto" w:before="106"/>
        <w:ind w:left="560"/>
      </w:pPr>
      <w:r>
        <w:rPr>
          <w:color w:val="231F20"/>
        </w:rPr>
        <w:t>She has been elected President of the Federation of Indian Chambers of Commerce &amp; Industry (FICCI) for</w:t>
      </w:r>
      <w:r>
        <w:rPr>
          <w:color w:val="231F20"/>
          <w:spacing w:val="51"/>
        </w:rPr>
        <w:t> </w:t>
      </w:r>
      <w:r>
        <w:rPr>
          <w:color w:val="231F20"/>
          <w:spacing w:val="-4"/>
        </w:rPr>
        <w:t>2013.</w:t>
      </w:r>
    </w:p>
    <w:p>
      <w:pPr>
        <w:pStyle w:val="BodyText"/>
        <w:spacing w:line="276" w:lineRule="auto"/>
        <w:ind w:left="560" w:right="21" w:firstLine="226"/>
      </w:pPr>
      <w:r>
        <w:rPr>
          <w:color w:val="231F20"/>
          <w:w w:val="105"/>
        </w:rPr>
        <w:t>She serves the Government of India on the Government- Industry Task Force. She chairs the India Advisory Board of the Harvard Business School, where she is also a Global Advisor. Other engagements include being on the Board of the Aspen Institute India, NCAER (National Council of Applied Economics Research) and NIBM (National Institute Bank Management). Her interests in the environment include being on the Board of Shakti Sustainable Energy Foundation, the World Economic Forums’ Global Agenda Council on Climate Change and The Energy and Resources Institute’s (TERI) Governing Council.</w:t>
      </w:r>
    </w:p>
    <w:p>
      <w:pPr>
        <w:pStyle w:val="BodyText"/>
        <w:spacing w:line="276" w:lineRule="auto"/>
        <w:ind w:left="560" w:firstLine="226"/>
      </w:pPr>
      <w:r>
        <w:rPr>
          <w:color w:val="231F20"/>
          <w:w w:val="105"/>
        </w:rPr>
        <w:t>Naïna Lal Kidwai was given the Padma Shri Award by</w:t>
      </w:r>
      <w:r>
        <w:rPr>
          <w:color w:val="231F20"/>
          <w:spacing w:val="-37"/>
          <w:w w:val="105"/>
        </w:rPr>
        <w:t> </w:t>
      </w:r>
      <w:r>
        <w:rPr>
          <w:color w:val="231F20"/>
          <w:w w:val="105"/>
        </w:rPr>
        <w:t>the Indian</w:t>
      </w:r>
      <w:r>
        <w:rPr>
          <w:color w:val="231F20"/>
          <w:spacing w:val="-16"/>
          <w:w w:val="105"/>
        </w:rPr>
        <w:t> </w:t>
      </w:r>
      <w:r>
        <w:rPr>
          <w:color w:val="231F20"/>
          <w:w w:val="105"/>
        </w:rPr>
        <w:t>government</w:t>
      </w:r>
      <w:r>
        <w:rPr>
          <w:color w:val="231F20"/>
          <w:spacing w:val="-15"/>
          <w:w w:val="105"/>
        </w:rPr>
        <w:t> </w:t>
      </w:r>
      <w:r>
        <w:rPr>
          <w:color w:val="231F20"/>
          <w:w w:val="105"/>
        </w:rPr>
        <w:t>in</w:t>
      </w:r>
      <w:r>
        <w:rPr>
          <w:color w:val="231F20"/>
          <w:spacing w:val="-15"/>
          <w:w w:val="105"/>
        </w:rPr>
        <w:t> </w:t>
      </w:r>
      <w:r>
        <w:rPr>
          <w:color w:val="231F20"/>
          <w:w w:val="105"/>
        </w:rPr>
        <w:t>2007</w:t>
      </w:r>
      <w:r>
        <w:rPr>
          <w:color w:val="231F20"/>
          <w:spacing w:val="-15"/>
          <w:w w:val="105"/>
        </w:rPr>
        <w:t> </w:t>
      </w:r>
      <w:r>
        <w:rPr>
          <w:color w:val="231F20"/>
          <w:w w:val="105"/>
        </w:rPr>
        <w:t>for</w:t>
      </w:r>
      <w:r>
        <w:rPr>
          <w:color w:val="231F20"/>
          <w:spacing w:val="-15"/>
          <w:w w:val="105"/>
        </w:rPr>
        <w:t> </w:t>
      </w:r>
      <w:r>
        <w:rPr>
          <w:color w:val="231F20"/>
          <w:w w:val="105"/>
        </w:rPr>
        <w:t>her</w:t>
      </w:r>
      <w:r>
        <w:rPr>
          <w:color w:val="231F20"/>
          <w:spacing w:val="-15"/>
          <w:w w:val="105"/>
        </w:rPr>
        <w:t> </w:t>
      </w:r>
      <w:r>
        <w:rPr>
          <w:color w:val="231F20"/>
          <w:w w:val="105"/>
        </w:rPr>
        <w:t>contribution</w:t>
      </w:r>
      <w:r>
        <w:rPr>
          <w:color w:val="231F20"/>
          <w:spacing w:val="-15"/>
          <w:w w:val="105"/>
        </w:rPr>
        <w:t> </w:t>
      </w:r>
      <w:r>
        <w:rPr>
          <w:color w:val="231F20"/>
          <w:w w:val="105"/>
        </w:rPr>
        <w:t>to</w:t>
      </w:r>
      <w:r>
        <w:rPr>
          <w:color w:val="231F20"/>
          <w:spacing w:val="-15"/>
          <w:w w:val="105"/>
        </w:rPr>
        <w:t> </w:t>
      </w:r>
      <w:r>
        <w:rPr>
          <w:color w:val="231F20"/>
          <w:w w:val="105"/>
        </w:rPr>
        <w:t>trade</w:t>
      </w:r>
      <w:r>
        <w:rPr>
          <w:color w:val="231F20"/>
          <w:spacing w:val="-15"/>
          <w:w w:val="105"/>
        </w:rPr>
        <w:t> </w:t>
      </w:r>
      <w:r>
        <w:rPr>
          <w:color w:val="231F20"/>
          <w:w w:val="105"/>
        </w:rPr>
        <w:t>and industry and has been recognised in India and abroad with awards</w:t>
      </w:r>
      <w:r>
        <w:rPr>
          <w:color w:val="231F20"/>
          <w:spacing w:val="-6"/>
          <w:w w:val="105"/>
        </w:rPr>
        <w:t> </w:t>
      </w:r>
      <w:r>
        <w:rPr>
          <w:color w:val="231F20"/>
          <w:w w:val="105"/>
        </w:rPr>
        <w:t>and</w:t>
      </w:r>
      <w:r>
        <w:rPr>
          <w:color w:val="231F20"/>
          <w:spacing w:val="-5"/>
          <w:w w:val="105"/>
        </w:rPr>
        <w:t> </w:t>
      </w:r>
      <w:r>
        <w:rPr>
          <w:color w:val="231F20"/>
          <w:w w:val="105"/>
        </w:rPr>
        <w:t>rankings</w:t>
      </w:r>
      <w:r>
        <w:rPr>
          <w:color w:val="231F20"/>
          <w:spacing w:val="-5"/>
          <w:w w:val="105"/>
        </w:rPr>
        <w:t> </w:t>
      </w:r>
      <w:r>
        <w:rPr>
          <w:color w:val="231F20"/>
          <w:w w:val="105"/>
        </w:rPr>
        <w:t>in</w:t>
      </w:r>
      <w:r>
        <w:rPr>
          <w:color w:val="231F20"/>
          <w:spacing w:val="-5"/>
          <w:w w:val="105"/>
        </w:rPr>
        <w:t> </w:t>
      </w:r>
      <w:r>
        <w:rPr>
          <w:color w:val="231F20"/>
          <w:w w:val="105"/>
        </w:rPr>
        <w:t>lists</w:t>
      </w:r>
      <w:r>
        <w:rPr>
          <w:color w:val="231F20"/>
          <w:spacing w:val="-6"/>
          <w:w w:val="105"/>
        </w:rPr>
        <w:t> </w:t>
      </w:r>
      <w:r>
        <w:rPr>
          <w:color w:val="231F20"/>
          <w:w w:val="105"/>
        </w:rPr>
        <w:t>of</w:t>
      </w:r>
      <w:r>
        <w:rPr>
          <w:color w:val="231F20"/>
          <w:spacing w:val="-5"/>
          <w:w w:val="105"/>
        </w:rPr>
        <w:t> </w:t>
      </w:r>
      <w:r>
        <w:rPr>
          <w:color w:val="231F20"/>
          <w:w w:val="105"/>
        </w:rPr>
        <w:t>top</w:t>
      </w:r>
      <w:r>
        <w:rPr>
          <w:color w:val="231F20"/>
          <w:spacing w:val="-5"/>
          <w:w w:val="105"/>
        </w:rPr>
        <w:t> </w:t>
      </w:r>
      <w:r>
        <w:rPr>
          <w:color w:val="231F20"/>
          <w:w w:val="105"/>
        </w:rPr>
        <w:t>women</w:t>
      </w:r>
      <w:r>
        <w:rPr>
          <w:color w:val="231F20"/>
          <w:spacing w:val="-5"/>
          <w:w w:val="105"/>
        </w:rPr>
        <w:t> </w:t>
      </w:r>
      <w:r>
        <w:rPr>
          <w:color w:val="231F20"/>
          <w:w w:val="105"/>
        </w:rPr>
        <w:t>in</w:t>
      </w:r>
      <w:r>
        <w:rPr>
          <w:color w:val="231F20"/>
          <w:spacing w:val="-6"/>
          <w:w w:val="105"/>
        </w:rPr>
        <w:t> </w:t>
      </w:r>
      <w:r>
        <w:rPr>
          <w:color w:val="231F20"/>
          <w:w w:val="105"/>
        </w:rPr>
        <w:t>business.</w:t>
      </w:r>
    </w:p>
    <w:p>
      <w:pPr>
        <w:pStyle w:val="BodyText"/>
        <w:rPr>
          <w:sz w:val="22"/>
        </w:rPr>
      </w:pPr>
    </w:p>
    <w:p>
      <w:pPr>
        <w:pStyle w:val="BodyText"/>
        <w:spacing w:before="10"/>
      </w:pPr>
    </w:p>
    <w:p>
      <w:pPr>
        <w:pStyle w:val="Heading3"/>
      </w:pPr>
      <w:r>
        <w:rPr/>
        <w:drawing>
          <wp:anchor distT="0" distB="0" distL="0" distR="0" allowOverlap="1" layoutInCell="1" locked="0" behindDoc="0" simplePos="0" relativeHeight="1792">
            <wp:simplePos x="0" y="0"/>
            <wp:positionH relativeFrom="page">
              <wp:posOffset>2879991</wp:posOffset>
            </wp:positionH>
            <wp:positionV relativeFrom="paragraph">
              <wp:posOffset>107311</wp:posOffset>
            </wp:positionV>
            <wp:extent cx="972007" cy="914412"/>
            <wp:effectExtent l="0" t="0" r="0" b="0"/>
            <wp:wrapNone/>
            <wp:docPr id="21" name="image26.png" descr=""/>
            <wp:cNvGraphicFramePr>
              <a:graphicFrameLocks noChangeAspect="1"/>
            </wp:cNvGraphicFramePr>
            <a:graphic>
              <a:graphicData uri="http://schemas.openxmlformats.org/drawingml/2006/picture">
                <pic:pic>
                  <pic:nvPicPr>
                    <pic:cNvPr id="22" name="image26.png"/>
                    <pic:cNvPicPr/>
                  </pic:nvPicPr>
                  <pic:blipFill>
                    <a:blip r:embed="rId47" cstate="print"/>
                    <a:stretch>
                      <a:fillRect/>
                    </a:stretch>
                  </pic:blipFill>
                  <pic:spPr>
                    <a:xfrm>
                      <a:off x="0" y="0"/>
                      <a:ext cx="972007" cy="914412"/>
                    </a:xfrm>
                    <a:prstGeom prst="rect">
                      <a:avLst/>
                    </a:prstGeom>
                  </pic:spPr>
                </pic:pic>
              </a:graphicData>
            </a:graphic>
          </wp:anchor>
        </w:drawing>
      </w:r>
      <w:r>
        <w:rPr>
          <w:color w:val="231F20"/>
          <w:w w:val="110"/>
        </w:rPr>
        <w:t>Titia de Lange</w:t>
      </w:r>
    </w:p>
    <w:p>
      <w:pPr>
        <w:pStyle w:val="BodyText"/>
        <w:spacing w:line="276" w:lineRule="auto" w:before="31"/>
        <w:ind w:left="560" w:right="1800"/>
      </w:pPr>
      <w:r>
        <w:rPr>
          <w:color w:val="231F20"/>
          <w:w w:val="105"/>
        </w:rPr>
        <w:t>Titia</w:t>
      </w:r>
      <w:r>
        <w:rPr>
          <w:color w:val="231F20"/>
          <w:spacing w:val="-16"/>
          <w:w w:val="105"/>
        </w:rPr>
        <w:t> </w:t>
      </w:r>
      <w:r>
        <w:rPr>
          <w:color w:val="231F20"/>
          <w:w w:val="105"/>
        </w:rPr>
        <w:t>de</w:t>
      </w:r>
      <w:r>
        <w:rPr>
          <w:color w:val="231F20"/>
          <w:spacing w:val="-16"/>
          <w:w w:val="105"/>
        </w:rPr>
        <w:t> </w:t>
      </w:r>
      <w:r>
        <w:rPr>
          <w:color w:val="231F20"/>
          <w:w w:val="105"/>
        </w:rPr>
        <w:t>Lange</w:t>
      </w:r>
      <w:r>
        <w:rPr>
          <w:color w:val="231F20"/>
          <w:spacing w:val="-15"/>
          <w:w w:val="105"/>
        </w:rPr>
        <w:t> </w:t>
      </w:r>
      <w:r>
        <w:rPr>
          <w:color w:val="231F20"/>
          <w:w w:val="105"/>
        </w:rPr>
        <w:t>earned</w:t>
      </w:r>
      <w:r>
        <w:rPr>
          <w:color w:val="231F20"/>
          <w:spacing w:val="-16"/>
          <w:w w:val="105"/>
        </w:rPr>
        <w:t> </w:t>
      </w:r>
      <w:r>
        <w:rPr>
          <w:color w:val="231F20"/>
          <w:w w:val="105"/>
        </w:rPr>
        <w:t>her</w:t>
      </w:r>
      <w:r>
        <w:rPr>
          <w:color w:val="231F20"/>
          <w:spacing w:val="-16"/>
          <w:w w:val="105"/>
        </w:rPr>
        <w:t> </w:t>
      </w:r>
      <w:r>
        <w:rPr>
          <w:color w:val="231F20"/>
          <w:w w:val="105"/>
        </w:rPr>
        <w:t>doctoral</w:t>
      </w:r>
      <w:r>
        <w:rPr>
          <w:color w:val="231F20"/>
          <w:spacing w:val="-15"/>
          <w:w w:val="105"/>
        </w:rPr>
        <w:t> </w:t>
      </w:r>
      <w:r>
        <w:rPr>
          <w:color w:val="231F20"/>
          <w:w w:val="105"/>
        </w:rPr>
        <w:t>and post-doctoral degrees in biochemistry in Amsterdam, London and San Francisco. In </w:t>
      </w:r>
      <w:r>
        <w:rPr>
          <w:color w:val="231F20"/>
          <w:spacing w:val="-6"/>
          <w:w w:val="105"/>
        </w:rPr>
        <w:t>1997, </w:t>
      </w:r>
      <w:r>
        <w:rPr>
          <w:color w:val="231F20"/>
          <w:w w:val="105"/>
        </w:rPr>
        <w:t>she was appointed Professor</w:t>
      </w:r>
      <w:r>
        <w:rPr>
          <w:color w:val="231F20"/>
          <w:spacing w:val="-30"/>
          <w:w w:val="105"/>
        </w:rPr>
        <w:t> </w:t>
      </w:r>
      <w:r>
        <w:rPr>
          <w:color w:val="231F20"/>
          <w:w w:val="105"/>
        </w:rPr>
        <w:t>at</w:t>
      </w:r>
      <w:r>
        <w:rPr>
          <w:color w:val="231F20"/>
          <w:spacing w:val="-30"/>
          <w:w w:val="105"/>
        </w:rPr>
        <w:t> </w:t>
      </w:r>
      <w:r>
        <w:rPr>
          <w:color w:val="231F20"/>
          <w:w w:val="105"/>
        </w:rPr>
        <w:t>the</w:t>
      </w:r>
      <w:r>
        <w:rPr>
          <w:color w:val="231F20"/>
          <w:spacing w:val="-29"/>
          <w:w w:val="105"/>
        </w:rPr>
        <w:t> </w:t>
      </w:r>
      <w:r>
        <w:rPr>
          <w:color w:val="231F20"/>
          <w:w w:val="105"/>
        </w:rPr>
        <w:t>Rockefeller</w:t>
      </w:r>
      <w:r>
        <w:rPr>
          <w:color w:val="231F20"/>
          <w:spacing w:val="-30"/>
          <w:w w:val="105"/>
        </w:rPr>
        <w:t> </w:t>
      </w:r>
      <w:r>
        <w:rPr>
          <w:color w:val="231F20"/>
          <w:w w:val="105"/>
        </w:rPr>
        <w:t>University, New York, where since 1999 she holds as well the Leon Hess</w:t>
      </w:r>
      <w:r>
        <w:rPr>
          <w:color w:val="231F20"/>
          <w:spacing w:val="-23"/>
          <w:w w:val="105"/>
        </w:rPr>
        <w:t> </w:t>
      </w:r>
      <w:r>
        <w:rPr>
          <w:color w:val="231F20"/>
          <w:w w:val="105"/>
        </w:rPr>
        <w:t>Professorship.</w:t>
      </w:r>
    </w:p>
    <w:p>
      <w:pPr>
        <w:pStyle w:val="BodyText"/>
        <w:spacing w:line="276" w:lineRule="auto"/>
        <w:ind w:left="560" w:right="187"/>
      </w:pPr>
      <w:r>
        <w:rPr>
          <w:color w:val="231F20"/>
        </w:rPr>
        <w:t>In </w:t>
      </w:r>
      <w:r>
        <w:rPr>
          <w:color w:val="231F20"/>
          <w:spacing w:val="-7"/>
        </w:rPr>
        <w:t>2011 </w:t>
      </w:r>
      <w:r>
        <w:rPr>
          <w:color w:val="231F20"/>
        </w:rPr>
        <w:t>she became Director of the Anderson Cancer Center  at that same</w:t>
      </w:r>
      <w:r>
        <w:rPr>
          <w:color w:val="231F20"/>
          <w:spacing w:val="-9"/>
        </w:rPr>
        <w:t> </w:t>
      </w:r>
      <w:r>
        <w:rPr>
          <w:color w:val="231F20"/>
        </w:rPr>
        <w:t>University.</w:t>
      </w:r>
    </w:p>
    <w:p>
      <w:pPr>
        <w:pStyle w:val="BodyText"/>
        <w:spacing w:line="276" w:lineRule="auto"/>
        <w:ind w:left="560" w:right="83" w:firstLine="226"/>
      </w:pPr>
      <w:r>
        <w:rPr>
          <w:color w:val="231F20"/>
        </w:rPr>
        <w:t>Titia de Lange is also an elected member of the American National Academy of Sciences and has worked extensively with the National Institutes of Health. In addition to these research activities, she currently serves on many scientific advisory boards and award committees of universities and other research centres around the world, as well as on  review panels and editorial boards. Furthermore, she has been</w:t>
      </w:r>
      <w:r>
        <w:rPr>
          <w:color w:val="231F20"/>
          <w:spacing w:val="20"/>
        </w:rPr>
        <w:t> </w:t>
      </w:r>
      <w:r>
        <w:rPr>
          <w:color w:val="231F20"/>
        </w:rPr>
        <w:t>awarded</w:t>
      </w:r>
      <w:r>
        <w:rPr>
          <w:color w:val="231F20"/>
          <w:spacing w:val="20"/>
        </w:rPr>
        <w:t> </w:t>
      </w:r>
      <w:r>
        <w:rPr>
          <w:color w:val="231F20"/>
        </w:rPr>
        <w:t>numerous</w:t>
      </w:r>
      <w:r>
        <w:rPr>
          <w:color w:val="231F20"/>
          <w:spacing w:val="19"/>
        </w:rPr>
        <w:t> </w:t>
      </w:r>
      <w:r>
        <w:rPr>
          <w:color w:val="231F20"/>
        </w:rPr>
        <w:t>honours</w:t>
      </w:r>
      <w:r>
        <w:rPr>
          <w:color w:val="231F20"/>
          <w:spacing w:val="20"/>
        </w:rPr>
        <w:t> </w:t>
      </w:r>
      <w:r>
        <w:rPr>
          <w:color w:val="231F20"/>
        </w:rPr>
        <w:t>and</w:t>
      </w:r>
      <w:r>
        <w:rPr>
          <w:color w:val="231F20"/>
          <w:spacing w:val="20"/>
        </w:rPr>
        <w:t> </w:t>
      </w:r>
      <w:r>
        <w:rPr>
          <w:color w:val="231F20"/>
        </w:rPr>
        <w:t>awards</w:t>
      </w:r>
      <w:r>
        <w:rPr>
          <w:color w:val="231F20"/>
          <w:spacing w:val="20"/>
        </w:rPr>
        <w:t> </w:t>
      </w:r>
      <w:r>
        <w:rPr>
          <w:color w:val="231F20"/>
        </w:rPr>
        <w:t>since</w:t>
      </w:r>
      <w:r>
        <w:rPr>
          <w:color w:val="231F20"/>
          <w:spacing w:val="20"/>
        </w:rPr>
        <w:t> </w:t>
      </w:r>
      <w:r>
        <w:rPr>
          <w:color w:val="231F20"/>
        </w:rPr>
        <w:t>1980.</w:t>
      </w:r>
    </w:p>
    <w:p>
      <w:pPr>
        <w:pStyle w:val="BodyText"/>
        <w:spacing w:line="276" w:lineRule="auto"/>
        <w:ind w:left="560" w:right="187" w:firstLine="226"/>
      </w:pPr>
      <w:r>
        <w:rPr>
          <w:color w:val="231F20"/>
        </w:rPr>
        <w:t>For Nestlé, Titia de Lange serves as a member of the Nestlé Nutrition Council (NNC) </w:t>
      </w:r>
      <w:r>
        <w:rPr>
          <w:color w:val="231F20"/>
          <w:w w:val="115"/>
        </w:rPr>
        <w:t>– </w:t>
      </w:r>
      <w:r>
        <w:rPr>
          <w:color w:val="231F20"/>
        </w:rPr>
        <w:t>a group of international experts who advise Nestlé on nutrition.</w:t>
      </w:r>
    </w:p>
    <w:p>
      <w:pPr>
        <w:pStyle w:val="BodyText"/>
        <w:rPr>
          <w:sz w:val="22"/>
        </w:rPr>
      </w:pPr>
    </w:p>
    <w:p>
      <w:pPr>
        <w:pStyle w:val="BodyText"/>
        <w:spacing w:before="8"/>
      </w:pPr>
    </w:p>
    <w:p>
      <w:pPr>
        <w:pStyle w:val="Heading3"/>
      </w:pPr>
      <w:r>
        <w:rPr/>
        <w:drawing>
          <wp:anchor distT="0" distB="0" distL="0" distR="0" allowOverlap="1" layoutInCell="1" locked="0" behindDoc="0" simplePos="0" relativeHeight="1816">
            <wp:simplePos x="0" y="0"/>
            <wp:positionH relativeFrom="page">
              <wp:posOffset>2879991</wp:posOffset>
            </wp:positionH>
            <wp:positionV relativeFrom="paragraph">
              <wp:posOffset>107323</wp:posOffset>
            </wp:positionV>
            <wp:extent cx="972007" cy="914400"/>
            <wp:effectExtent l="0" t="0" r="0" b="0"/>
            <wp:wrapNone/>
            <wp:docPr id="23" name="image27.png" descr=""/>
            <wp:cNvGraphicFramePr>
              <a:graphicFrameLocks noChangeAspect="1"/>
            </wp:cNvGraphicFramePr>
            <a:graphic>
              <a:graphicData uri="http://schemas.openxmlformats.org/drawingml/2006/picture">
                <pic:pic>
                  <pic:nvPicPr>
                    <pic:cNvPr id="24" name="image27.png"/>
                    <pic:cNvPicPr/>
                  </pic:nvPicPr>
                  <pic:blipFill>
                    <a:blip r:embed="rId48" cstate="print"/>
                    <a:stretch>
                      <a:fillRect/>
                    </a:stretch>
                  </pic:blipFill>
                  <pic:spPr>
                    <a:xfrm>
                      <a:off x="0" y="0"/>
                      <a:ext cx="972007" cy="914400"/>
                    </a:xfrm>
                    <a:prstGeom prst="rect">
                      <a:avLst/>
                    </a:prstGeom>
                  </pic:spPr>
                </pic:pic>
              </a:graphicData>
            </a:graphic>
          </wp:anchor>
        </w:drawing>
      </w:r>
      <w:r>
        <w:rPr>
          <w:color w:val="231F20"/>
          <w:w w:val="105"/>
        </w:rPr>
        <w:t>Jean-Pierre Roth</w:t>
      </w:r>
    </w:p>
    <w:p>
      <w:pPr>
        <w:pStyle w:val="BodyText"/>
        <w:spacing w:line="276" w:lineRule="auto" w:before="31"/>
        <w:ind w:left="560" w:right="1774"/>
      </w:pPr>
      <w:r>
        <w:rPr>
          <w:color w:val="231F20"/>
        </w:rPr>
        <w:t>Jean-Pierre Roth spent his whole career at the Swiss National Bank, which he joined in 1979. After various senior positions, he was appointed a member of the Governing Board in 1996 before becoming its Chairman in 2001</w:t>
      </w:r>
    </w:p>
    <w:p>
      <w:pPr>
        <w:pStyle w:val="BodyText"/>
        <w:spacing w:line="207" w:lineRule="exact"/>
        <w:ind w:left="560"/>
      </w:pPr>
      <w:r>
        <w:rPr>
          <w:color w:val="231F20"/>
          <w:w w:val="105"/>
        </w:rPr>
        <w:t>until 2009. From 2001 he was a member</w:t>
      </w:r>
    </w:p>
    <w:p>
      <w:pPr>
        <w:pStyle w:val="BodyText"/>
        <w:spacing w:before="31"/>
        <w:ind w:left="560"/>
      </w:pPr>
      <w:r>
        <w:rPr>
          <w:color w:val="231F20"/>
        </w:rPr>
        <w:t>of, and since 2006 the Chairman of the Board of Directors of</w:t>
      </w:r>
    </w:p>
    <w:p>
      <w:pPr>
        <w:pStyle w:val="BodyText"/>
        <w:spacing w:before="106"/>
        <w:ind w:left="186"/>
      </w:pPr>
      <w:r>
        <w:rPr/>
        <w:br w:type="column"/>
      </w:r>
      <w:r>
        <w:rPr>
          <w:color w:val="231F20"/>
        </w:rPr>
        <w:t>the Bank of International Settlements until his retirement</w:t>
      </w:r>
    </w:p>
    <w:p>
      <w:pPr>
        <w:pStyle w:val="BodyText"/>
        <w:spacing w:line="276" w:lineRule="auto" w:before="31"/>
        <w:ind w:left="186" w:right="304"/>
      </w:pPr>
      <w:r>
        <w:rPr>
          <w:color w:val="231F20"/>
        </w:rPr>
        <w:t>in 2009. Jean-Pierre Roth also served as Swiss Governor of the International Monetary Fund from 2001 until 2009 and  as a Swiss representative on the Financial Stability Board from 2007 until</w:t>
      </w:r>
      <w:r>
        <w:rPr>
          <w:color w:val="231F20"/>
          <w:spacing w:val="-7"/>
        </w:rPr>
        <w:t> </w:t>
      </w:r>
      <w:r>
        <w:rPr>
          <w:color w:val="231F20"/>
        </w:rPr>
        <w:t>2009.</w:t>
      </w:r>
    </w:p>
    <w:p>
      <w:pPr>
        <w:pStyle w:val="BodyText"/>
        <w:spacing w:line="276" w:lineRule="auto"/>
        <w:ind w:left="186" w:right="76" w:firstLine="226"/>
      </w:pPr>
      <w:r>
        <w:rPr>
          <w:color w:val="231F20"/>
          <w:w w:val="105"/>
        </w:rPr>
        <w:t>As of </w:t>
      </w:r>
      <w:r>
        <w:rPr>
          <w:color w:val="231F20"/>
          <w:spacing w:val="-4"/>
          <w:w w:val="105"/>
        </w:rPr>
        <w:t>2010, </w:t>
      </w:r>
      <w:r>
        <w:rPr>
          <w:color w:val="231F20"/>
          <w:w w:val="105"/>
        </w:rPr>
        <w:t>Jean-Pierre Roth has been a member of the Board of </w:t>
      </w:r>
      <w:r>
        <w:rPr>
          <w:color w:val="231F20"/>
          <w:spacing w:val="-2"/>
          <w:w w:val="105"/>
        </w:rPr>
        <w:t>Swatch </w:t>
      </w:r>
      <w:r>
        <w:rPr>
          <w:color w:val="231F20"/>
          <w:w w:val="105"/>
        </w:rPr>
        <w:t>Group </w:t>
      </w:r>
      <w:r>
        <w:rPr>
          <w:color w:val="231F20"/>
          <w:spacing w:val="-3"/>
          <w:w w:val="105"/>
        </w:rPr>
        <w:t>AG </w:t>
      </w:r>
      <w:r>
        <w:rPr>
          <w:color w:val="231F20"/>
          <w:w w:val="105"/>
        </w:rPr>
        <w:t>and a member of the Foundation Board and Programme Committee of Avenir Suisse, Switzerland. Since July </w:t>
      </w:r>
      <w:r>
        <w:rPr>
          <w:color w:val="231F20"/>
          <w:spacing w:val="-4"/>
          <w:w w:val="105"/>
        </w:rPr>
        <w:t>2010, </w:t>
      </w:r>
      <w:r>
        <w:rPr>
          <w:color w:val="231F20"/>
          <w:w w:val="105"/>
        </w:rPr>
        <w:t>he serves as Chairman of the Board of Directors of Geneva Cantonal Bank, and is a Board member of the global (re)insurance company Swiss Re.</w:t>
      </w:r>
    </w:p>
    <w:p>
      <w:pPr>
        <w:pStyle w:val="BodyText"/>
        <w:rPr>
          <w:sz w:val="22"/>
        </w:rPr>
      </w:pPr>
    </w:p>
    <w:p>
      <w:pPr>
        <w:pStyle w:val="BodyText"/>
        <w:rPr>
          <w:sz w:val="19"/>
        </w:rPr>
      </w:pPr>
    </w:p>
    <w:p>
      <w:pPr>
        <w:pStyle w:val="Heading3"/>
        <w:spacing w:before="1"/>
        <w:ind w:left="186"/>
      </w:pPr>
      <w:r>
        <w:rPr/>
        <w:drawing>
          <wp:anchor distT="0" distB="0" distL="0" distR="0" allowOverlap="1" layoutInCell="1" locked="0" behindDoc="0" simplePos="0" relativeHeight="1840">
            <wp:simplePos x="0" y="0"/>
            <wp:positionH relativeFrom="page">
              <wp:posOffset>6228003</wp:posOffset>
            </wp:positionH>
            <wp:positionV relativeFrom="paragraph">
              <wp:posOffset>107946</wp:posOffset>
            </wp:positionV>
            <wp:extent cx="971994" cy="914412"/>
            <wp:effectExtent l="0" t="0" r="0" b="0"/>
            <wp:wrapNone/>
            <wp:docPr id="25" name="image28.png" descr=""/>
            <wp:cNvGraphicFramePr>
              <a:graphicFrameLocks noChangeAspect="1"/>
            </wp:cNvGraphicFramePr>
            <a:graphic>
              <a:graphicData uri="http://schemas.openxmlformats.org/drawingml/2006/picture">
                <pic:pic>
                  <pic:nvPicPr>
                    <pic:cNvPr id="26" name="image28.png"/>
                    <pic:cNvPicPr/>
                  </pic:nvPicPr>
                  <pic:blipFill>
                    <a:blip r:embed="rId49" cstate="print"/>
                    <a:stretch>
                      <a:fillRect/>
                    </a:stretch>
                  </pic:blipFill>
                  <pic:spPr>
                    <a:xfrm>
                      <a:off x="0" y="0"/>
                      <a:ext cx="971994" cy="914412"/>
                    </a:xfrm>
                    <a:prstGeom prst="rect">
                      <a:avLst/>
                    </a:prstGeom>
                  </pic:spPr>
                </pic:pic>
              </a:graphicData>
            </a:graphic>
          </wp:anchor>
        </w:drawing>
      </w:r>
      <w:r>
        <w:rPr>
          <w:color w:val="231F20"/>
          <w:w w:val="115"/>
        </w:rPr>
        <w:t>Ann M. Veneman</w:t>
      </w:r>
    </w:p>
    <w:p>
      <w:pPr>
        <w:pStyle w:val="BodyText"/>
        <w:spacing w:line="276" w:lineRule="auto" w:before="31"/>
        <w:ind w:left="186" w:right="1864"/>
      </w:pPr>
      <w:r>
        <w:rPr>
          <w:color w:val="231F20"/>
        </w:rPr>
        <w:t>An attorney by training, Ann M. Veneman was Secretary of the United States Department of  Agriculture (USDA) from 2001 to 2005. She then served a five-year term as the Executive Director of the United Nations </w:t>
      </w:r>
      <w:r>
        <w:rPr>
          <w:color w:val="231F20"/>
          <w:spacing w:val="-3"/>
        </w:rPr>
        <w:t>Children’s </w:t>
      </w:r>
      <w:r>
        <w:rPr>
          <w:color w:val="231F20"/>
        </w:rPr>
        <w:t>Fund. Earlier in her career she was</w:t>
      </w:r>
      <w:r>
        <w:rPr>
          <w:color w:val="231F20"/>
          <w:spacing w:val="21"/>
        </w:rPr>
        <w:t> </w:t>
      </w:r>
      <w:r>
        <w:rPr>
          <w:color w:val="231F20"/>
        </w:rPr>
        <w:t>in</w:t>
      </w:r>
    </w:p>
    <w:p>
      <w:pPr>
        <w:pStyle w:val="BodyText"/>
        <w:spacing w:line="276" w:lineRule="auto"/>
        <w:ind w:left="186" w:right="205"/>
      </w:pPr>
      <w:r>
        <w:rPr>
          <w:color w:val="231F20"/>
        </w:rPr>
        <w:t>various positions in the USDA and also served four years      as the Secretary of the California Department of Food and Agriculture. She is currently a member of the Boards of Alexion Pharmaceuticals, </w:t>
      </w:r>
      <w:r>
        <w:rPr>
          <w:color w:val="231F20"/>
          <w:spacing w:val="4"/>
        </w:rPr>
        <w:t>S&amp;W </w:t>
      </w:r>
      <w:r>
        <w:rPr>
          <w:color w:val="231F20"/>
        </w:rPr>
        <w:t>Seed Company,  the  Close Up Foundation, Malaria No More, Landesa and </w:t>
      </w:r>
      <w:r>
        <w:rPr>
          <w:color w:val="231F20"/>
          <w:spacing w:val="2"/>
        </w:rPr>
        <w:t>4-H </w:t>
      </w:r>
      <w:r>
        <w:rPr>
          <w:color w:val="231F20"/>
        </w:rPr>
        <w:t>as well   as of the Global Health Innovative Technology Fund. She is also Co-Chair of Mothers Day Every Day and on a number    of advisory boards including BRAC, The Chicago Council Global</w:t>
      </w:r>
      <w:r>
        <w:rPr>
          <w:color w:val="231F20"/>
          <w:spacing w:val="-8"/>
        </w:rPr>
        <w:t> </w:t>
      </w:r>
      <w:r>
        <w:rPr>
          <w:color w:val="231F20"/>
        </w:rPr>
        <w:t>Agriculture</w:t>
      </w:r>
      <w:r>
        <w:rPr>
          <w:color w:val="231F20"/>
          <w:spacing w:val="-7"/>
        </w:rPr>
        <w:t> </w:t>
      </w:r>
      <w:r>
        <w:rPr>
          <w:color w:val="231F20"/>
        </w:rPr>
        <w:t>Development</w:t>
      </w:r>
      <w:r>
        <w:rPr>
          <w:color w:val="231F20"/>
          <w:spacing w:val="-7"/>
        </w:rPr>
        <w:t> </w:t>
      </w:r>
      <w:r>
        <w:rPr>
          <w:color w:val="231F20"/>
        </w:rPr>
        <w:t>Initiative,</w:t>
      </w:r>
      <w:r>
        <w:rPr>
          <w:color w:val="231F20"/>
          <w:spacing w:val="-7"/>
        </w:rPr>
        <w:t> </w:t>
      </w:r>
      <w:r>
        <w:rPr>
          <w:color w:val="231F20"/>
        </w:rPr>
        <w:t>and</w:t>
      </w:r>
      <w:r>
        <w:rPr>
          <w:color w:val="231F20"/>
          <w:spacing w:val="-7"/>
        </w:rPr>
        <w:t> </w:t>
      </w:r>
      <w:r>
        <w:rPr>
          <w:color w:val="231F20"/>
        </w:rPr>
        <w:t>the</w:t>
      </w:r>
      <w:r>
        <w:rPr>
          <w:color w:val="231F20"/>
          <w:spacing w:val="-7"/>
        </w:rPr>
        <w:t> </w:t>
      </w:r>
      <w:r>
        <w:rPr>
          <w:color w:val="231F20"/>
        </w:rPr>
        <w:t>Bipartisan Policy Council Nutrition and Physical Activity Initiative. She is a member of the Council on Foreign Relations, and the Trilateral</w:t>
      </w:r>
      <w:r>
        <w:rPr>
          <w:color w:val="231F20"/>
          <w:spacing w:val="-3"/>
        </w:rPr>
        <w:t> </w:t>
      </w:r>
      <w:r>
        <w:rPr>
          <w:color w:val="231F20"/>
        </w:rPr>
        <w:t>Commission.</w:t>
      </w:r>
    </w:p>
    <w:p>
      <w:pPr>
        <w:pStyle w:val="BodyText"/>
        <w:spacing w:line="276" w:lineRule="auto"/>
        <w:ind w:left="186" w:right="98" w:firstLine="226"/>
      </w:pPr>
      <w:r>
        <w:rPr>
          <w:color w:val="231F20"/>
          <w:w w:val="105"/>
        </w:rPr>
        <w:t>In 2009, she was named to the Forbes 100 Most Powerful Women list, and she has been the recipient of numerous awards and honours throughout her career.</w:t>
      </w:r>
    </w:p>
    <w:p>
      <w:pPr>
        <w:pStyle w:val="BodyText"/>
        <w:spacing w:line="276" w:lineRule="auto"/>
        <w:ind w:left="186" w:right="304" w:firstLine="226"/>
      </w:pPr>
      <w:r>
        <w:rPr>
          <w:color w:val="231F20"/>
          <w:w w:val="105"/>
        </w:rPr>
        <w:t>Ann M. Veneman also serves as member of the Nestlé CSV Council.</w:t>
      </w:r>
    </w:p>
    <w:p>
      <w:pPr>
        <w:pStyle w:val="BodyText"/>
        <w:rPr>
          <w:sz w:val="22"/>
        </w:rPr>
      </w:pPr>
    </w:p>
    <w:p>
      <w:pPr>
        <w:pStyle w:val="BodyText"/>
        <w:spacing w:before="6"/>
      </w:pPr>
    </w:p>
    <w:p>
      <w:pPr>
        <w:pStyle w:val="Heading3"/>
        <w:spacing w:before="1"/>
        <w:ind w:left="186"/>
      </w:pPr>
      <w:r>
        <w:rPr/>
        <w:drawing>
          <wp:anchor distT="0" distB="0" distL="0" distR="0" allowOverlap="1" layoutInCell="1" locked="0" behindDoc="0" simplePos="0" relativeHeight="1864">
            <wp:simplePos x="0" y="0"/>
            <wp:positionH relativeFrom="page">
              <wp:posOffset>6228003</wp:posOffset>
            </wp:positionH>
            <wp:positionV relativeFrom="paragraph">
              <wp:posOffset>107945</wp:posOffset>
            </wp:positionV>
            <wp:extent cx="971994" cy="914412"/>
            <wp:effectExtent l="0" t="0" r="0" b="0"/>
            <wp:wrapNone/>
            <wp:docPr id="27" name="image29.png" descr=""/>
            <wp:cNvGraphicFramePr>
              <a:graphicFrameLocks noChangeAspect="1"/>
            </wp:cNvGraphicFramePr>
            <a:graphic>
              <a:graphicData uri="http://schemas.openxmlformats.org/drawingml/2006/picture">
                <pic:pic>
                  <pic:nvPicPr>
                    <pic:cNvPr id="28" name="image29.png"/>
                    <pic:cNvPicPr/>
                  </pic:nvPicPr>
                  <pic:blipFill>
                    <a:blip r:embed="rId50" cstate="print"/>
                    <a:stretch>
                      <a:fillRect/>
                    </a:stretch>
                  </pic:blipFill>
                  <pic:spPr>
                    <a:xfrm>
                      <a:off x="0" y="0"/>
                      <a:ext cx="971994" cy="914412"/>
                    </a:xfrm>
                    <a:prstGeom prst="rect">
                      <a:avLst/>
                    </a:prstGeom>
                  </pic:spPr>
                </pic:pic>
              </a:graphicData>
            </a:graphic>
          </wp:anchor>
        </w:drawing>
      </w:r>
      <w:r>
        <w:rPr>
          <w:color w:val="231F20"/>
          <w:w w:val="110"/>
        </w:rPr>
        <w:t>Henri de Castries</w:t>
      </w:r>
    </w:p>
    <w:p>
      <w:pPr>
        <w:pStyle w:val="BodyText"/>
        <w:spacing w:line="276" w:lineRule="auto" w:before="31"/>
        <w:ind w:left="186" w:right="1865"/>
      </w:pPr>
      <w:r>
        <w:rPr>
          <w:color w:val="231F20"/>
          <w:w w:val="105"/>
        </w:rPr>
        <w:t>Henri de Castries started his career in the French Finance Ministry Inspection Office, auditing government agencies from 1980 to 1984. In 1984, he joined the French Treasury Department. As</w:t>
      </w:r>
    </w:p>
    <w:p>
      <w:pPr>
        <w:pStyle w:val="BodyText"/>
        <w:spacing w:line="276" w:lineRule="auto"/>
        <w:ind w:left="186" w:right="1954"/>
      </w:pPr>
      <w:r>
        <w:rPr>
          <w:color w:val="231F20"/>
        </w:rPr>
        <w:t>of 1989, he joined AXA Corporate Finance Division. Two years later, he</w:t>
      </w:r>
    </w:p>
    <w:p>
      <w:pPr>
        <w:pStyle w:val="BodyText"/>
        <w:spacing w:line="276" w:lineRule="auto"/>
        <w:ind w:left="186" w:right="304"/>
      </w:pPr>
      <w:r>
        <w:rPr>
          <w:color w:val="231F20"/>
        </w:rPr>
        <w:t>was appointed Senior Executive Vice President for the Group’s asset management, financial and real-estate business. Henri de Castries was Chairman of the AXA</w:t>
      </w:r>
    </w:p>
    <w:p>
      <w:pPr>
        <w:spacing w:after="0" w:line="276" w:lineRule="auto"/>
        <w:sectPr>
          <w:type w:val="continuous"/>
          <w:pgSz w:w="11910" w:h="14750"/>
          <w:pgMar w:top="540" w:bottom="280" w:left="460" w:right="460"/>
          <w:cols w:num="2" w:equalWidth="0">
            <w:col w:w="5607" w:space="40"/>
            <w:col w:w="5343"/>
          </w:cols>
        </w:sectPr>
      </w:pPr>
    </w:p>
    <w:p>
      <w:pPr>
        <w:pStyle w:val="BodyText"/>
        <w:rPr>
          <w:sz w:val="20"/>
        </w:rPr>
      </w:pPr>
    </w:p>
    <w:p>
      <w:pPr>
        <w:pStyle w:val="BodyText"/>
        <w:rPr>
          <w:sz w:val="20"/>
        </w:rPr>
      </w:pPr>
    </w:p>
    <w:p>
      <w:pPr>
        <w:pStyle w:val="BodyText"/>
        <w:spacing w:before="9"/>
        <w:rPr>
          <w:sz w:val="15"/>
        </w:rPr>
      </w:pPr>
    </w:p>
    <w:p>
      <w:pPr>
        <w:spacing w:after="0"/>
        <w:rPr>
          <w:sz w:val="15"/>
        </w:rPr>
        <w:sectPr>
          <w:pgSz w:w="11910" w:h="14750"/>
          <w:pgMar w:header="642" w:footer="509" w:top="840" w:bottom="700" w:left="460" w:right="460"/>
        </w:sectPr>
      </w:pPr>
    </w:p>
    <w:p>
      <w:pPr>
        <w:pStyle w:val="BodyText"/>
        <w:spacing w:line="276" w:lineRule="auto" w:before="108"/>
        <w:ind w:left="106" w:right="129"/>
      </w:pPr>
      <w:r>
        <w:rPr>
          <w:color w:val="231F20"/>
          <w:w w:val="105"/>
        </w:rPr>
        <w:t>Management Board from May 2000 to April 2010. Since April 2010, following a modification of the corporate governance structure, he is Chairman and CEO of AXA.</w:t>
      </w:r>
    </w:p>
    <w:p>
      <w:pPr>
        <w:pStyle w:val="BodyText"/>
        <w:spacing w:line="276" w:lineRule="auto"/>
        <w:ind w:left="106" w:right="129" w:firstLine="226"/>
      </w:pPr>
      <w:r>
        <w:rPr>
          <w:color w:val="231F20"/>
        </w:rPr>
        <w:t>In addition to his professional duties, Henri de Castries    is Chairman of </w:t>
      </w:r>
      <w:r>
        <w:rPr>
          <w:color w:val="231F20"/>
          <w:spacing w:val="6"/>
        </w:rPr>
        <w:t>AXA </w:t>
      </w:r>
      <w:r>
        <w:rPr>
          <w:color w:val="231F20"/>
        </w:rPr>
        <w:t>Hearts in Action, AXA’s volunteer community outreach programme and is a member of the Board of the Association pour l’aide aux jeunes infirmes, an organisation dedicated to helping disabled youth, as well    as</w:t>
      </w:r>
      <w:r>
        <w:rPr>
          <w:color w:val="231F20"/>
          <w:spacing w:val="13"/>
        </w:rPr>
        <w:t> </w:t>
      </w:r>
      <w:r>
        <w:rPr>
          <w:color w:val="231F20"/>
        </w:rPr>
        <w:t>a</w:t>
      </w:r>
      <w:r>
        <w:rPr>
          <w:color w:val="231F20"/>
          <w:spacing w:val="14"/>
        </w:rPr>
        <w:t> </w:t>
      </w:r>
      <w:r>
        <w:rPr>
          <w:color w:val="231F20"/>
        </w:rPr>
        <w:t>member</w:t>
      </w:r>
      <w:r>
        <w:rPr>
          <w:color w:val="231F20"/>
          <w:spacing w:val="14"/>
        </w:rPr>
        <w:t> </w:t>
      </w:r>
      <w:r>
        <w:rPr>
          <w:color w:val="231F20"/>
        </w:rPr>
        <w:t>of</w:t>
      </w:r>
      <w:r>
        <w:rPr>
          <w:color w:val="231F20"/>
          <w:spacing w:val="13"/>
        </w:rPr>
        <w:t> </w:t>
      </w:r>
      <w:r>
        <w:rPr>
          <w:color w:val="231F20"/>
        </w:rPr>
        <w:t>the</w:t>
      </w:r>
      <w:r>
        <w:rPr>
          <w:color w:val="231F20"/>
          <w:spacing w:val="14"/>
        </w:rPr>
        <w:t> </w:t>
      </w:r>
      <w:r>
        <w:rPr>
          <w:color w:val="231F20"/>
        </w:rPr>
        <w:t>Board</w:t>
      </w:r>
      <w:r>
        <w:rPr>
          <w:color w:val="231F20"/>
          <w:spacing w:val="14"/>
        </w:rPr>
        <w:t> </w:t>
      </w:r>
      <w:r>
        <w:rPr>
          <w:color w:val="231F20"/>
        </w:rPr>
        <w:t>of</w:t>
      </w:r>
      <w:r>
        <w:rPr>
          <w:color w:val="231F20"/>
          <w:spacing w:val="14"/>
        </w:rPr>
        <w:t> </w:t>
      </w:r>
      <w:r>
        <w:rPr>
          <w:color w:val="231F20"/>
        </w:rPr>
        <w:t>the</w:t>
      </w:r>
      <w:r>
        <w:rPr>
          <w:color w:val="231F20"/>
          <w:spacing w:val="13"/>
        </w:rPr>
        <w:t> </w:t>
      </w:r>
      <w:r>
        <w:rPr>
          <w:color w:val="231F20"/>
        </w:rPr>
        <w:t>Musée</w:t>
      </w:r>
      <w:r>
        <w:rPr>
          <w:color w:val="231F20"/>
          <w:spacing w:val="14"/>
        </w:rPr>
        <w:t> </w:t>
      </w:r>
      <w:r>
        <w:rPr>
          <w:color w:val="231F20"/>
        </w:rPr>
        <w:t>du</w:t>
      </w:r>
      <w:r>
        <w:rPr>
          <w:color w:val="231F20"/>
          <w:spacing w:val="14"/>
        </w:rPr>
        <w:t> </w:t>
      </w:r>
      <w:r>
        <w:rPr>
          <w:color w:val="231F20"/>
        </w:rPr>
        <w:t>Louvre,</w:t>
      </w:r>
      <w:r>
        <w:rPr>
          <w:color w:val="231F20"/>
          <w:spacing w:val="14"/>
        </w:rPr>
        <w:t> </w:t>
      </w:r>
      <w:r>
        <w:rPr>
          <w:color w:val="231F20"/>
        </w:rPr>
        <w:t>France.</w:t>
      </w:r>
    </w:p>
    <w:p>
      <w:pPr>
        <w:pStyle w:val="BodyText"/>
        <w:spacing w:line="276" w:lineRule="auto"/>
        <w:ind w:left="106" w:right="224" w:firstLine="226"/>
      </w:pPr>
      <w:r>
        <w:rPr>
          <w:color w:val="231F20"/>
        </w:rPr>
        <w:t>Furthermore, Henri de Castries has been appointed </w:t>
      </w:r>
      <w:r>
        <w:rPr>
          <w:color w:val="231F20"/>
          <w:spacing w:val="2"/>
        </w:rPr>
        <w:t>Officer </w:t>
      </w:r>
      <w:r>
        <w:rPr>
          <w:color w:val="231F20"/>
        </w:rPr>
        <w:t>of the French Legion d’Honneur (Légion d’Honneur) and </w:t>
      </w:r>
      <w:r>
        <w:rPr>
          <w:color w:val="231F20"/>
          <w:spacing w:val="2"/>
        </w:rPr>
        <w:t>Officer </w:t>
      </w:r>
      <w:r>
        <w:rPr>
          <w:color w:val="231F20"/>
        </w:rPr>
        <w:t>of the French National Order of Merit (Ordre national du</w:t>
      </w:r>
      <w:r>
        <w:rPr>
          <w:color w:val="231F20"/>
          <w:spacing w:val="-6"/>
        </w:rPr>
        <w:t> </w:t>
      </w:r>
      <w:r>
        <w:rPr>
          <w:color w:val="231F20"/>
        </w:rPr>
        <w:t>Mérite).</w:t>
      </w:r>
    </w:p>
    <w:p>
      <w:pPr>
        <w:pStyle w:val="BodyText"/>
        <w:rPr>
          <w:sz w:val="22"/>
        </w:rPr>
      </w:pPr>
    </w:p>
    <w:p>
      <w:pPr>
        <w:pStyle w:val="BodyText"/>
        <w:spacing w:before="11"/>
      </w:pPr>
    </w:p>
    <w:p>
      <w:pPr>
        <w:pStyle w:val="Heading3"/>
        <w:ind w:left="106"/>
      </w:pPr>
      <w:r>
        <w:rPr/>
        <w:drawing>
          <wp:anchor distT="0" distB="0" distL="0" distR="0" allowOverlap="1" layoutInCell="1" locked="0" behindDoc="0" simplePos="0" relativeHeight="1888">
            <wp:simplePos x="0" y="0"/>
            <wp:positionH relativeFrom="page">
              <wp:posOffset>2591993</wp:posOffset>
            </wp:positionH>
            <wp:positionV relativeFrom="paragraph">
              <wp:posOffset>107323</wp:posOffset>
            </wp:positionV>
            <wp:extent cx="972007" cy="914400"/>
            <wp:effectExtent l="0" t="0" r="0" b="0"/>
            <wp:wrapNone/>
            <wp:docPr id="29" name="image30.png" descr=""/>
            <wp:cNvGraphicFramePr>
              <a:graphicFrameLocks noChangeAspect="1"/>
            </wp:cNvGraphicFramePr>
            <a:graphic>
              <a:graphicData uri="http://schemas.openxmlformats.org/drawingml/2006/picture">
                <pic:pic>
                  <pic:nvPicPr>
                    <pic:cNvPr id="30" name="image30.png"/>
                    <pic:cNvPicPr/>
                  </pic:nvPicPr>
                  <pic:blipFill>
                    <a:blip r:embed="rId51" cstate="print"/>
                    <a:stretch>
                      <a:fillRect/>
                    </a:stretch>
                  </pic:blipFill>
                  <pic:spPr>
                    <a:xfrm>
                      <a:off x="0" y="0"/>
                      <a:ext cx="972007" cy="914400"/>
                    </a:xfrm>
                    <a:prstGeom prst="rect">
                      <a:avLst/>
                    </a:prstGeom>
                  </pic:spPr>
                </pic:pic>
              </a:graphicData>
            </a:graphic>
          </wp:anchor>
        </w:drawing>
      </w:r>
      <w:r>
        <w:rPr>
          <w:color w:val="231F20"/>
          <w:w w:val="115"/>
        </w:rPr>
        <w:t>Eva Cheng</w:t>
      </w:r>
    </w:p>
    <w:p>
      <w:pPr>
        <w:pStyle w:val="BodyText"/>
        <w:spacing w:before="31"/>
        <w:ind w:left="106"/>
      </w:pPr>
      <w:r>
        <w:rPr>
          <w:color w:val="231F20"/>
          <w:w w:val="105"/>
        </w:rPr>
        <w:t>Eva Cheng joined Amway Corporation</w:t>
      </w:r>
    </w:p>
    <w:p>
      <w:pPr>
        <w:pStyle w:val="BodyText"/>
        <w:spacing w:line="276" w:lineRule="auto" w:before="31"/>
        <w:ind w:left="106" w:right="1722"/>
      </w:pPr>
      <w:r>
        <w:rPr>
          <w:color w:val="231F20"/>
          <w:w w:val="115"/>
        </w:rPr>
        <w:t>– </w:t>
      </w:r>
      <w:r>
        <w:rPr>
          <w:color w:val="231F20"/>
          <w:w w:val="105"/>
        </w:rPr>
        <w:t>a US based global consumer product company </w:t>
      </w:r>
      <w:r>
        <w:rPr>
          <w:color w:val="231F20"/>
          <w:w w:val="115"/>
        </w:rPr>
        <w:t>– </w:t>
      </w:r>
      <w:r>
        <w:rPr>
          <w:color w:val="231F20"/>
          <w:w w:val="105"/>
        </w:rPr>
        <w:t>in 1977 as an Executive Assistant in Hong Kong and moved to become Corporate Executive Vice President in 2005 responsible for Greater China and Southeast Asia</w:t>
      </w:r>
    </w:p>
    <w:p>
      <w:pPr>
        <w:pStyle w:val="BodyText"/>
        <w:spacing w:line="207" w:lineRule="exact"/>
        <w:ind w:left="106"/>
      </w:pPr>
      <w:r>
        <w:rPr>
          <w:color w:val="231F20"/>
        </w:rPr>
        <w:t>Region, a position she held until her retirement in 2011.</w:t>
      </w:r>
    </w:p>
    <w:p>
      <w:pPr>
        <w:pStyle w:val="BodyText"/>
        <w:spacing w:line="276" w:lineRule="auto" w:before="31"/>
        <w:ind w:left="106"/>
      </w:pPr>
      <w:r>
        <w:rPr>
          <w:color w:val="231F20"/>
          <w:w w:val="105"/>
        </w:rPr>
        <w:t>Eva Cheng is most well known for leading Amway’s entry into</w:t>
      </w:r>
      <w:r>
        <w:rPr>
          <w:color w:val="231F20"/>
          <w:spacing w:val="-14"/>
          <w:w w:val="105"/>
        </w:rPr>
        <w:t> </w:t>
      </w:r>
      <w:r>
        <w:rPr>
          <w:color w:val="231F20"/>
          <w:w w:val="105"/>
        </w:rPr>
        <w:t>China</w:t>
      </w:r>
      <w:r>
        <w:rPr>
          <w:color w:val="231F20"/>
          <w:spacing w:val="-14"/>
          <w:w w:val="105"/>
        </w:rPr>
        <w:t> </w:t>
      </w:r>
      <w:r>
        <w:rPr>
          <w:color w:val="231F20"/>
          <w:w w:val="105"/>
        </w:rPr>
        <w:t>in</w:t>
      </w:r>
      <w:r>
        <w:rPr>
          <w:color w:val="231F20"/>
          <w:spacing w:val="-13"/>
          <w:w w:val="105"/>
        </w:rPr>
        <w:t> </w:t>
      </w:r>
      <w:r>
        <w:rPr>
          <w:color w:val="231F20"/>
          <w:spacing w:val="-7"/>
          <w:w w:val="105"/>
        </w:rPr>
        <w:t>1991.</w:t>
      </w:r>
      <w:r>
        <w:rPr>
          <w:color w:val="231F20"/>
          <w:spacing w:val="-14"/>
          <w:w w:val="105"/>
        </w:rPr>
        <w:t> </w:t>
      </w:r>
      <w:r>
        <w:rPr>
          <w:color w:val="231F20"/>
          <w:w w:val="105"/>
        </w:rPr>
        <w:t>She</w:t>
      </w:r>
      <w:r>
        <w:rPr>
          <w:color w:val="231F20"/>
          <w:spacing w:val="-14"/>
          <w:w w:val="105"/>
        </w:rPr>
        <w:t> </w:t>
      </w:r>
      <w:r>
        <w:rPr>
          <w:color w:val="231F20"/>
          <w:w w:val="105"/>
        </w:rPr>
        <w:t>also</w:t>
      </w:r>
      <w:r>
        <w:rPr>
          <w:color w:val="231F20"/>
          <w:spacing w:val="-13"/>
          <w:w w:val="105"/>
        </w:rPr>
        <w:t> </w:t>
      </w:r>
      <w:r>
        <w:rPr>
          <w:color w:val="231F20"/>
          <w:w w:val="105"/>
        </w:rPr>
        <w:t>held</w:t>
      </w:r>
      <w:r>
        <w:rPr>
          <w:color w:val="231F20"/>
          <w:spacing w:val="-14"/>
          <w:w w:val="105"/>
        </w:rPr>
        <w:t> </w:t>
      </w:r>
      <w:r>
        <w:rPr>
          <w:color w:val="231F20"/>
          <w:w w:val="105"/>
        </w:rPr>
        <w:t>Amway</w:t>
      </w:r>
      <w:r>
        <w:rPr>
          <w:color w:val="231F20"/>
          <w:spacing w:val="-13"/>
          <w:w w:val="105"/>
        </w:rPr>
        <w:t> </w:t>
      </w:r>
      <w:r>
        <w:rPr>
          <w:color w:val="231F20"/>
          <w:spacing w:val="-3"/>
          <w:w w:val="105"/>
        </w:rPr>
        <w:t>China’s</w:t>
      </w:r>
      <w:r>
        <w:rPr>
          <w:color w:val="231F20"/>
          <w:spacing w:val="-14"/>
          <w:w w:val="105"/>
        </w:rPr>
        <w:t> </w:t>
      </w:r>
      <w:r>
        <w:rPr>
          <w:color w:val="231F20"/>
          <w:w w:val="105"/>
        </w:rPr>
        <w:t>Chairwoman </w:t>
      </w:r>
      <w:r>
        <w:rPr>
          <w:color w:val="231F20"/>
          <w:spacing w:val="-2"/>
          <w:w w:val="105"/>
        </w:rPr>
        <w:t>and</w:t>
      </w:r>
      <w:r>
        <w:rPr>
          <w:color w:val="231F20"/>
          <w:spacing w:val="-24"/>
          <w:w w:val="105"/>
        </w:rPr>
        <w:t> </w:t>
      </w:r>
      <w:r>
        <w:rPr>
          <w:color w:val="231F20"/>
          <w:spacing w:val="-3"/>
          <w:w w:val="105"/>
        </w:rPr>
        <w:t>CEO</w:t>
      </w:r>
      <w:r>
        <w:rPr>
          <w:color w:val="231F20"/>
          <w:spacing w:val="-23"/>
          <w:w w:val="105"/>
        </w:rPr>
        <w:t> </w:t>
      </w:r>
      <w:r>
        <w:rPr>
          <w:color w:val="231F20"/>
          <w:spacing w:val="-3"/>
          <w:w w:val="105"/>
        </w:rPr>
        <w:t>position</w:t>
      </w:r>
      <w:r>
        <w:rPr>
          <w:color w:val="231F20"/>
          <w:spacing w:val="-23"/>
          <w:w w:val="105"/>
        </w:rPr>
        <w:t> </w:t>
      </w:r>
      <w:r>
        <w:rPr>
          <w:color w:val="231F20"/>
          <w:w w:val="105"/>
        </w:rPr>
        <w:t>since</w:t>
      </w:r>
      <w:r>
        <w:rPr>
          <w:color w:val="231F20"/>
          <w:spacing w:val="-23"/>
          <w:w w:val="105"/>
        </w:rPr>
        <w:t> </w:t>
      </w:r>
      <w:r>
        <w:rPr>
          <w:color w:val="231F20"/>
          <w:spacing w:val="-3"/>
          <w:w w:val="105"/>
        </w:rPr>
        <w:t>market</w:t>
      </w:r>
      <w:r>
        <w:rPr>
          <w:color w:val="231F20"/>
          <w:spacing w:val="-24"/>
          <w:w w:val="105"/>
        </w:rPr>
        <w:t> </w:t>
      </w:r>
      <w:r>
        <w:rPr>
          <w:color w:val="231F20"/>
          <w:w w:val="105"/>
        </w:rPr>
        <w:t>launch</w:t>
      </w:r>
      <w:r>
        <w:rPr>
          <w:color w:val="231F20"/>
          <w:spacing w:val="-23"/>
          <w:w w:val="105"/>
        </w:rPr>
        <w:t> </w:t>
      </w:r>
      <w:r>
        <w:rPr>
          <w:color w:val="231F20"/>
          <w:spacing w:val="-3"/>
          <w:w w:val="105"/>
        </w:rPr>
        <w:t>until</w:t>
      </w:r>
      <w:r>
        <w:rPr>
          <w:color w:val="231F20"/>
          <w:spacing w:val="-23"/>
          <w:w w:val="105"/>
        </w:rPr>
        <w:t> </w:t>
      </w:r>
      <w:r>
        <w:rPr>
          <w:color w:val="231F20"/>
          <w:w w:val="105"/>
        </w:rPr>
        <w:t>her</w:t>
      </w:r>
      <w:r>
        <w:rPr>
          <w:color w:val="231F20"/>
          <w:spacing w:val="-23"/>
          <w:w w:val="105"/>
        </w:rPr>
        <w:t> </w:t>
      </w:r>
      <w:r>
        <w:rPr>
          <w:color w:val="231F20"/>
          <w:spacing w:val="-3"/>
          <w:w w:val="105"/>
        </w:rPr>
        <w:t>retreat</w:t>
      </w:r>
      <w:r>
        <w:rPr>
          <w:color w:val="231F20"/>
          <w:spacing w:val="-24"/>
          <w:w w:val="105"/>
        </w:rPr>
        <w:t> </w:t>
      </w:r>
      <w:r>
        <w:rPr>
          <w:color w:val="231F20"/>
          <w:w w:val="105"/>
        </w:rPr>
        <w:t>in</w:t>
      </w:r>
      <w:r>
        <w:rPr>
          <w:color w:val="231F20"/>
          <w:spacing w:val="-23"/>
          <w:w w:val="105"/>
        </w:rPr>
        <w:t> </w:t>
      </w:r>
      <w:r>
        <w:rPr>
          <w:color w:val="231F20"/>
          <w:spacing w:val="-10"/>
          <w:w w:val="105"/>
        </w:rPr>
        <w:t>2011.</w:t>
      </w:r>
    </w:p>
    <w:p>
      <w:pPr>
        <w:pStyle w:val="BodyText"/>
        <w:spacing w:line="276" w:lineRule="auto"/>
        <w:ind w:left="106" w:right="326" w:firstLine="226"/>
      </w:pPr>
      <w:r>
        <w:rPr>
          <w:color w:val="231F20"/>
          <w:w w:val="105"/>
        </w:rPr>
        <w:t>In 2008 and 2009, Eva Cheng was twice named to the Forbes 100 Most Powerful Women list. She had also received numerous awards and honours for her business leadership and community service.</w:t>
      </w:r>
    </w:p>
    <w:p>
      <w:pPr>
        <w:pStyle w:val="BodyText"/>
        <w:spacing w:line="276" w:lineRule="auto"/>
        <w:ind w:left="106" w:right="129" w:firstLine="226"/>
      </w:pPr>
      <w:r>
        <w:rPr>
          <w:color w:val="231F20"/>
        </w:rPr>
        <w:t>Presently, Eva Cheng serves on the publicly listed boards of Esprit Holdings Ltd., Trinity Limited (until </w:t>
      </w:r>
      <w:r>
        <w:rPr>
          <w:color w:val="231F20"/>
          <w:spacing w:val="-4"/>
        </w:rPr>
        <w:t>2014), </w:t>
      </w:r>
      <w:r>
        <w:rPr>
          <w:color w:val="231F20"/>
        </w:rPr>
        <w:t>Haier Electronics Group Co. Ltd., in Hong Kong and Amway (Malaysia) Holdings Berhad in Kuala Lumpur (until</w:t>
      </w:r>
      <w:r>
        <w:rPr>
          <w:color w:val="231F20"/>
          <w:spacing w:val="7"/>
        </w:rPr>
        <w:t> </w:t>
      </w:r>
      <w:r>
        <w:rPr>
          <w:color w:val="231F20"/>
          <w:spacing w:val="-5"/>
        </w:rPr>
        <w:t>2014).</w:t>
      </w:r>
    </w:p>
    <w:p>
      <w:pPr>
        <w:pStyle w:val="BodyText"/>
        <w:spacing w:line="276" w:lineRule="auto"/>
        <w:ind w:left="106" w:right="293"/>
      </w:pPr>
      <w:r>
        <w:rPr>
          <w:color w:val="231F20"/>
          <w:w w:val="105"/>
        </w:rPr>
        <w:t>She is also a member of the Executive Committee of the All-China Women’s Federation, a Member of the China’s People Political Consultative Conference </w:t>
      </w:r>
      <w:r>
        <w:rPr>
          <w:color w:val="231F20"/>
          <w:w w:val="115"/>
        </w:rPr>
        <w:t>– </w:t>
      </w:r>
      <w:r>
        <w:rPr>
          <w:color w:val="231F20"/>
          <w:w w:val="105"/>
        </w:rPr>
        <w:t>Guangdong Commission and a Permanent Honorary Director of the Chinese General Chamber of Commerce in Hong Kong.</w:t>
      </w:r>
    </w:p>
    <w:p>
      <w:pPr>
        <w:pStyle w:val="Heading3"/>
        <w:numPr>
          <w:ilvl w:val="1"/>
          <w:numId w:val="5"/>
        </w:numPr>
        <w:tabs>
          <w:tab w:pos="561" w:val="left" w:leader="none"/>
        </w:tabs>
        <w:spacing w:line="240" w:lineRule="auto" w:before="108" w:after="0"/>
        <w:ind w:left="560" w:right="0" w:hanging="454"/>
        <w:jc w:val="left"/>
      </w:pPr>
      <w:r>
        <w:rPr>
          <w:color w:val="586670"/>
          <w:spacing w:val="2"/>
          <w:w w:val="112"/>
        </w:rPr>
        <w:br w:type="column"/>
      </w:r>
      <w:r>
        <w:rPr>
          <w:color w:val="586670"/>
          <w:w w:val="110"/>
        </w:rPr>
        <w:t>Elections and terms of</w:t>
      </w:r>
      <w:r>
        <w:rPr>
          <w:color w:val="586670"/>
          <w:spacing w:val="-30"/>
          <w:w w:val="110"/>
        </w:rPr>
        <w:t> </w:t>
      </w:r>
      <w:r>
        <w:rPr>
          <w:color w:val="586670"/>
          <w:w w:val="110"/>
        </w:rPr>
        <w:t>office</w:t>
      </w:r>
    </w:p>
    <w:p>
      <w:pPr>
        <w:pStyle w:val="BodyText"/>
        <w:spacing w:line="276" w:lineRule="auto" w:before="31"/>
        <w:ind w:left="106" w:right="573"/>
        <w:jc w:val="both"/>
      </w:pPr>
      <w:r>
        <w:rPr>
          <w:color w:val="231F20"/>
          <w:w w:val="105"/>
        </w:rPr>
        <w:t>The</w:t>
      </w:r>
      <w:r>
        <w:rPr>
          <w:color w:val="231F20"/>
          <w:spacing w:val="-24"/>
          <w:w w:val="105"/>
        </w:rPr>
        <w:t> </w:t>
      </w:r>
      <w:r>
        <w:rPr>
          <w:color w:val="231F20"/>
          <w:w w:val="105"/>
        </w:rPr>
        <w:t>Annual</w:t>
      </w:r>
      <w:r>
        <w:rPr>
          <w:color w:val="231F20"/>
          <w:spacing w:val="-24"/>
          <w:w w:val="105"/>
        </w:rPr>
        <w:t> </w:t>
      </w:r>
      <w:r>
        <w:rPr>
          <w:color w:val="231F20"/>
          <w:w w:val="105"/>
        </w:rPr>
        <w:t>General</w:t>
      </w:r>
      <w:r>
        <w:rPr>
          <w:color w:val="231F20"/>
          <w:spacing w:val="-23"/>
          <w:w w:val="105"/>
        </w:rPr>
        <w:t> </w:t>
      </w:r>
      <w:r>
        <w:rPr>
          <w:color w:val="231F20"/>
          <w:spacing w:val="-3"/>
          <w:w w:val="105"/>
        </w:rPr>
        <w:t>Meeting</w:t>
      </w:r>
      <w:r>
        <w:rPr>
          <w:color w:val="231F20"/>
          <w:spacing w:val="-24"/>
          <w:w w:val="105"/>
        </w:rPr>
        <w:t> </w:t>
      </w:r>
      <w:r>
        <w:rPr>
          <w:color w:val="231F20"/>
          <w:w w:val="105"/>
        </w:rPr>
        <w:t>has</w:t>
      </w:r>
      <w:r>
        <w:rPr>
          <w:color w:val="231F20"/>
          <w:spacing w:val="-23"/>
          <w:w w:val="105"/>
        </w:rPr>
        <w:t> </w:t>
      </w:r>
      <w:r>
        <w:rPr>
          <w:color w:val="231F20"/>
          <w:w w:val="105"/>
        </w:rPr>
        <w:t>the</w:t>
      </w:r>
      <w:r>
        <w:rPr>
          <w:color w:val="231F20"/>
          <w:spacing w:val="-24"/>
          <w:w w:val="105"/>
        </w:rPr>
        <w:t> </w:t>
      </w:r>
      <w:r>
        <w:rPr>
          <w:color w:val="231F20"/>
          <w:w w:val="105"/>
        </w:rPr>
        <w:t>competence</w:t>
      </w:r>
      <w:r>
        <w:rPr>
          <w:color w:val="231F20"/>
          <w:spacing w:val="-23"/>
          <w:w w:val="105"/>
        </w:rPr>
        <w:t> </w:t>
      </w:r>
      <w:r>
        <w:rPr>
          <w:color w:val="231F20"/>
          <w:w w:val="105"/>
        </w:rPr>
        <w:t>to</w:t>
      </w:r>
      <w:r>
        <w:rPr>
          <w:color w:val="231F20"/>
          <w:spacing w:val="-24"/>
          <w:w w:val="105"/>
        </w:rPr>
        <w:t> </w:t>
      </w:r>
      <w:r>
        <w:rPr>
          <w:color w:val="231F20"/>
          <w:w w:val="105"/>
        </w:rPr>
        <w:t>elect</w:t>
      </w:r>
      <w:r>
        <w:rPr>
          <w:color w:val="231F20"/>
          <w:spacing w:val="-24"/>
          <w:w w:val="105"/>
        </w:rPr>
        <w:t> </w:t>
      </w:r>
      <w:r>
        <w:rPr>
          <w:color w:val="231F20"/>
          <w:w w:val="105"/>
        </w:rPr>
        <w:t>and remove</w:t>
      </w:r>
      <w:r>
        <w:rPr>
          <w:color w:val="231F20"/>
          <w:spacing w:val="-13"/>
          <w:w w:val="105"/>
        </w:rPr>
        <w:t> </w:t>
      </w:r>
      <w:r>
        <w:rPr>
          <w:color w:val="231F20"/>
          <w:w w:val="105"/>
        </w:rPr>
        <w:t>the</w:t>
      </w:r>
      <w:r>
        <w:rPr>
          <w:color w:val="231F20"/>
          <w:spacing w:val="-13"/>
          <w:w w:val="105"/>
        </w:rPr>
        <w:t> </w:t>
      </w:r>
      <w:r>
        <w:rPr>
          <w:color w:val="231F20"/>
          <w:w w:val="105"/>
        </w:rPr>
        <w:t>members</w:t>
      </w:r>
      <w:r>
        <w:rPr>
          <w:color w:val="231F20"/>
          <w:spacing w:val="-13"/>
          <w:w w:val="105"/>
        </w:rPr>
        <w:t> </w:t>
      </w:r>
      <w:r>
        <w:rPr>
          <w:color w:val="231F20"/>
          <w:w w:val="105"/>
        </w:rPr>
        <w:t>of</w:t>
      </w:r>
      <w:r>
        <w:rPr>
          <w:color w:val="231F20"/>
          <w:spacing w:val="-13"/>
          <w:w w:val="105"/>
        </w:rPr>
        <w:t> </w:t>
      </w:r>
      <w:r>
        <w:rPr>
          <w:color w:val="231F20"/>
          <w:w w:val="105"/>
        </w:rPr>
        <w:t>the</w:t>
      </w:r>
      <w:r>
        <w:rPr>
          <w:color w:val="231F20"/>
          <w:spacing w:val="-12"/>
          <w:w w:val="105"/>
        </w:rPr>
        <w:t> </w:t>
      </w:r>
      <w:r>
        <w:rPr>
          <w:color w:val="231F20"/>
          <w:w w:val="105"/>
        </w:rPr>
        <w:t>Board.</w:t>
      </w:r>
      <w:r>
        <w:rPr>
          <w:color w:val="231F20"/>
          <w:spacing w:val="-13"/>
          <w:w w:val="105"/>
        </w:rPr>
        <w:t> </w:t>
      </w:r>
      <w:r>
        <w:rPr>
          <w:color w:val="231F20"/>
          <w:w w:val="105"/>
        </w:rPr>
        <w:t>As</w:t>
      </w:r>
      <w:r>
        <w:rPr>
          <w:color w:val="231F20"/>
          <w:spacing w:val="-13"/>
          <w:w w:val="105"/>
        </w:rPr>
        <w:t> </w:t>
      </w:r>
      <w:r>
        <w:rPr>
          <w:color w:val="231F20"/>
          <w:w w:val="105"/>
        </w:rPr>
        <w:t>of</w:t>
      </w:r>
      <w:r>
        <w:rPr>
          <w:color w:val="231F20"/>
          <w:spacing w:val="-13"/>
          <w:w w:val="105"/>
        </w:rPr>
        <w:t> </w:t>
      </w:r>
      <w:r>
        <w:rPr>
          <w:color w:val="231F20"/>
          <w:spacing w:val="-4"/>
          <w:w w:val="105"/>
        </w:rPr>
        <w:t>31</w:t>
      </w:r>
      <w:r>
        <w:rPr>
          <w:color w:val="231F20"/>
          <w:spacing w:val="-12"/>
          <w:w w:val="105"/>
        </w:rPr>
        <w:t> </w:t>
      </w:r>
      <w:r>
        <w:rPr>
          <w:color w:val="231F20"/>
          <w:w w:val="105"/>
        </w:rPr>
        <w:t>December</w:t>
      </w:r>
      <w:r>
        <w:rPr>
          <w:color w:val="231F20"/>
          <w:spacing w:val="-13"/>
          <w:w w:val="105"/>
        </w:rPr>
        <w:t> </w:t>
      </w:r>
      <w:r>
        <w:rPr>
          <w:color w:val="231F20"/>
          <w:spacing w:val="-6"/>
          <w:w w:val="105"/>
        </w:rPr>
        <w:t>2013, </w:t>
      </w:r>
      <w:r>
        <w:rPr>
          <w:color w:val="231F20"/>
          <w:w w:val="105"/>
        </w:rPr>
        <w:t>the</w:t>
      </w:r>
      <w:r>
        <w:rPr>
          <w:color w:val="231F20"/>
          <w:spacing w:val="-25"/>
          <w:w w:val="105"/>
        </w:rPr>
        <w:t> </w:t>
      </w:r>
      <w:r>
        <w:rPr>
          <w:color w:val="231F20"/>
          <w:w w:val="105"/>
        </w:rPr>
        <w:t>term</w:t>
      </w:r>
      <w:r>
        <w:rPr>
          <w:color w:val="231F20"/>
          <w:spacing w:val="-24"/>
          <w:w w:val="105"/>
        </w:rPr>
        <w:t> </w:t>
      </w:r>
      <w:r>
        <w:rPr>
          <w:color w:val="231F20"/>
          <w:w w:val="105"/>
        </w:rPr>
        <w:t>of</w:t>
      </w:r>
      <w:r>
        <w:rPr>
          <w:color w:val="231F20"/>
          <w:spacing w:val="-25"/>
          <w:w w:val="105"/>
        </w:rPr>
        <w:t> </w:t>
      </w:r>
      <w:r>
        <w:rPr>
          <w:color w:val="231F20"/>
          <w:w w:val="105"/>
        </w:rPr>
        <w:t>office</w:t>
      </w:r>
      <w:r>
        <w:rPr>
          <w:color w:val="231F20"/>
          <w:spacing w:val="-24"/>
          <w:w w:val="105"/>
        </w:rPr>
        <w:t> </w:t>
      </w:r>
      <w:r>
        <w:rPr>
          <w:color w:val="231F20"/>
          <w:w w:val="105"/>
        </w:rPr>
        <w:t>of</w:t>
      </w:r>
      <w:r>
        <w:rPr>
          <w:color w:val="231F20"/>
          <w:spacing w:val="-24"/>
          <w:w w:val="105"/>
        </w:rPr>
        <w:t> </w:t>
      </w:r>
      <w:r>
        <w:rPr>
          <w:color w:val="231F20"/>
          <w:w w:val="105"/>
        </w:rPr>
        <w:t>a</w:t>
      </w:r>
      <w:r>
        <w:rPr>
          <w:color w:val="231F20"/>
          <w:spacing w:val="-25"/>
          <w:w w:val="105"/>
        </w:rPr>
        <w:t> </w:t>
      </w:r>
      <w:r>
        <w:rPr>
          <w:color w:val="231F20"/>
          <w:w w:val="105"/>
        </w:rPr>
        <w:t>Board</w:t>
      </w:r>
      <w:r>
        <w:rPr>
          <w:color w:val="231F20"/>
          <w:spacing w:val="-24"/>
          <w:w w:val="105"/>
        </w:rPr>
        <w:t> </w:t>
      </w:r>
      <w:r>
        <w:rPr>
          <w:color w:val="231F20"/>
          <w:w w:val="105"/>
        </w:rPr>
        <w:t>member</w:t>
      </w:r>
      <w:r>
        <w:rPr>
          <w:color w:val="231F20"/>
          <w:spacing w:val="-24"/>
          <w:w w:val="105"/>
        </w:rPr>
        <w:t> </w:t>
      </w:r>
      <w:r>
        <w:rPr>
          <w:color w:val="231F20"/>
          <w:w w:val="105"/>
        </w:rPr>
        <w:t>is</w:t>
      </w:r>
      <w:r>
        <w:rPr>
          <w:color w:val="231F20"/>
          <w:spacing w:val="-25"/>
          <w:w w:val="105"/>
        </w:rPr>
        <w:t> </w:t>
      </w:r>
      <w:r>
        <w:rPr>
          <w:color w:val="231F20"/>
          <w:w w:val="105"/>
        </w:rPr>
        <w:t>three</w:t>
      </w:r>
      <w:r>
        <w:rPr>
          <w:color w:val="231F20"/>
          <w:spacing w:val="-24"/>
          <w:w w:val="105"/>
        </w:rPr>
        <w:t> </w:t>
      </w:r>
      <w:r>
        <w:rPr>
          <w:color w:val="231F20"/>
          <w:w w:val="105"/>
        </w:rPr>
        <w:t>years.</w:t>
      </w:r>
      <w:r>
        <w:rPr>
          <w:color w:val="231F20"/>
          <w:spacing w:val="-25"/>
          <w:w w:val="105"/>
        </w:rPr>
        <w:t> </w:t>
      </w:r>
      <w:r>
        <w:rPr>
          <w:color w:val="231F20"/>
          <w:spacing w:val="-3"/>
          <w:w w:val="105"/>
        </w:rPr>
        <w:t>Outgoing </w:t>
      </w:r>
      <w:r>
        <w:rPr>
          <w:color w:val="231F20"/>
          <w:w w:val="105"/>
        </w:rPr>
        <w:t>Directors</w:t>
      </w:r>
      <w:r>
        <w:rPr>
          <w:color w:val="231F20"/>
          <w:spacing w:val="-13"/>
          <w:w w:val="105"/>
        </w:rPr>
        <w:t> </w:t>
      </w:r>
      <w:r>
        <w:rPr>
          <w:color w:val="231F20"/>
          <w:w w:val="105"/>
        </w:rPr>
        <w:t>are</w:t>
      </w:r>
      <w:r>
        <w:rPr>
          <w:color w:val="231F20"/>
          <w:spacing w:val="-13"/>
          <w:w w:val="105"/>
        </w:rPr>
        <w:t> </w:t>
      </w:r>
      <w:r>
        <w:rPr>
          <w:color w:val="231F20"/>
          <w:w w:val="105"/>
        </w:rPr>
        <w:t>re-eligible.</w:t>
      </w:r>
      <w:r>
        <w:rPr>
          <w:color w:val="231F20"/>
          <w:spacing w:val="-12"/>
          <w:w w:val="105"/>
        </w:rPr>
        <w:t> </w:t>
      </w:r>
      <w:r>
        <w:rPr>
          <w:color w:val="231F20"/>
          <w:w w:val="105"/>
        </w:rPr>
        <w:t>Each</w:t>
      </w:r>
      <w:r>
        <w:rPr>
          <w:color w:val="231F20"/>
          <w:spacing w:val="-13"/>
          <w:w w:val="105"/>
        </w:rPr>
        <w:t> </w:t>
      </w:r>
      <w:r>
        <w:rPr>
          <w:color w:val="231F20"/>
          <w:w w:val="105"/>
        </w:rPr>
        <w:t>year</w:t>
      </w:r>
      <w:r>
        <w:rPr>
          <w:color w:val="231F20"/>
          <w:spacing w:val="-12"/>
          <w:w w:val="105"/>
        </w:rPr>
        <w:t> </w:t>
      </w:r>
      <w:r>
        <w:rPr>
          <w:color w:val="231F20"/>
          <w:w w:val="105"/>
        </w:rPr>
        <w:t>the</w:t>
      </w:r>
      <w:r>
        <w:rPr>
          <w:color w:val="231F20"/>
          <w:spacing w:val="-13"/>
          <w:w w:val="105"/>
        </w:rPr>
        <w:t> </w:t>
      </w:r>
      <w:r>
        <w:rPr>
          <w:color w:val="231F20"/>
          <w:w w:val="105"/>
        </w:rPr>
        <w:t>Board</w:t>
      </w:r>
      <w:r>
        <w:rPr>
          <w:color w:val="231F20"/>
          <w:spacing w:val="-13"/>
          <w:w w:val="105"/>
        </w:rPr>
        <w:t> </w:t>
      </w:r>
      <w:r>
        <w:rPr>
          <w:color w:val="231F20"/>
          <w:w w:val="105"/>
        </w:rPr>
        <w:t>is</w:t>
      </w:r>
      <w:r>
        <w:rPr>
          <w:color w:val="231F20"/>
          <w:spacing w:val="-12"/>
          <w:w w:val="105"/>
        </w:rPr>
        <w:t> </w:t>
      </w:r>
      <w:r>
        <w:rPr>
          <w:color w:val="231F20"/>
          <w:w w:val="105"/>
        </w:rPr>
        <w:t>renewed</w:t>
      </w:r>
    </w:p>
    <w:p>
      <w:pPr>
        <w:pStyle w:val="BodyText"/>
        <w:spacing w:line="276" w:lineRule="auto"/>
        <w:ind w:left="106" w:right="865"/>
        <w:jc w:val="both"/>
      </w:pPr>
      <w:r>
        <w:rPr>
          <w:color w:val="231F20"/>
        </w:rPr>
        <w:t>by</w:t>
      </w:r>
      <w:r>
        <w:rPr>
          <w:color w:val="231F20"/>
          <w:spacing w:val="-5"/>
        </w:rPr>
        <w:t> </w:t>
      </w:r>
      <w:r>
        <w:rPr>
          <w:color w:val="231F20"/>
        </w:rPr>
        <w:t>rotation</w:t>
      </w:r>
      <w:r>
        <w:rPr>
          <w:color w:val="231F20"/>
          <w:spacing w:val="-5"/>
        </w:rPr>
        <w:t> </w:t>
      </w:r>
      <w:r>
        <w:rPr>
          <w:color w:val="231F20"/>
        </w:rPr>
        <w:t>in</w:t>
      </w:r>
      <w:r>
        <w:rPr>
          <w:color w:val="231F20"/>
          <w:spacing w:val="-5"/>
        </w:rPr>
        <w:t> </w:t>
      </w:r>
      <w:r>
        <w:rPr>
          <w:color w:val="231F20"/>
        </w:rPr>
        <w:t>a</w:t>
      </w:r>
      <w:r>
        <w:rPr>
          <w:color w:val="231F20"/>
          <w:spacing w:val="-5"/>
        </w:rPr>
        <w:t> </w:t>
      </w:r>
      <w:r>
        <w:rPr>
          <w:color w:val="231F20"/>
        </w:rPr>
        <w:t>way</w:t>
      </w:r>
      <w:r>
        <w:rPr>
          <w:color w:val="231F20"/>
          <w:spacing w:val="-5"/>
        </w:rPr>
        <w:t> </w:t>
      </w:r>
      <w:r>
        <w:rPr>
          <w:color w:val="231F20"/>
        </w:rPr>
        <w:t>that,</w:t>
      </w:r>
      <w:r>
        <w:rPr>
          <w:color w:val="231F20"/>
          <w:spacing w:val="-5"/>
        </w:rPr>
        <w:t> </w:t>
      </w:r>
      <w:r>
        <w:rPr>
          <w:color w:val="231F20"/>
        </w:rPr>
        <w:t>after</w:t>
      </w:r>
      <w:r>
        <w:rPr>
          <w:color w:val="231F20"/>
          <w:spacing w:val="-5"/>
        </w:rPr>
        <w:t> </w:t>
      </w:r>
      <w:r>
        <w:rPr>
          <w:color w:val="231F20"/>
        </w:rPr>
        <w:t>a</w:t>
      </w:r>
      <w:r>
        <w:rPr>
          <w:color w:val="231F20"/>
          <w:spacing w:val="-5"/>
        </w:rPr>
        <w:t> </w:t>
      </w:r>
      <w:r>
        <w:rPr>
          <w:color w:val="231F20"/>
        </w:rPr>
        <w:t>period</w:t>
      </w:r>
      <w:r>
        <w:rPr>
          <w:color w:val="231F20"/>
          <w:spacing w:val="-5"/>
        </w:rPr>
        <w:t> </w:t>
      </w:r>
      <w:r>
        <w:rPr>
          <w:color w:val="231F20"/>
        </w:rPr>
        <w:t>of</w:t>
      </w:r>
      <w:r>
        <w:rPr>
          <w:color w:val="231F20"/>
          <w:spacing w:val="-4"/>
        </w:rPr>
        <w:t> </w:t>
      </w:r>
      <w:r>
        <w:rPr>
          <w:color w:val="231F20"/>
        </w:rPr>
        <w:t>three</w:t>
      </w:r>
      <w:r>
        <w:rPr>
          <w:color w:val="231F20"/>
          <w:spacing w:val="-5"/>
        </w:rPr>
        <w:t> </w:t>
      </w:r>
      <w:r>
        <w:rPr>
          <w:color w:val="231F20"/>
        </w:rPr>
        <w:t>years,</w:t>
      </w:r>
      <w:r>
        <w:rPr>
          <w:color w:val="231F20"/>
          <w:spacing w:val="-5"/>
        </w:rPr>
        <w:t> </w:t>
      </w:r>
      <w:r>
        <w:rPr>
          <w:color w:val="231F20"/>
        </w:rPr>
        <w:t>all members will have been subject to re-election. Directors are elected</w:t>
      </w:r>
      <w:r>
        <w:rPr>
          <w:color w:val="231F20"/>
          <w:spacing w:val="-7"/>
        </w:rPr>
        <w:t> </w:t>
      </w:r>
      <w:r>
        <w:rPr>
          <w:color w:val="231F20"/>
        </w:rPr>
        <w:t>individually.</w:t>
      </w:r>
    </w:p>
    <w:p>
      <w:pPr>
        <w:pStyle w:val="BodyText"/>
        <w:spacing w:line="276" w:lineRule="auto"/>
        <w:ind w:left="106" w:right="590" w:firstLine="226"/>
      </w:pPr>
      <w:r>
        <w:rPr>
          <w:color w:val="231F20"/>
        </w:rPr>
        <w:t>The Board of Directors elects, for a one-year term, the Chairman, the Chief Executive Officer (CEO), two Vice Chairmen and the members of the Committees.</w:t>
      </w:r>
    </w:p>
    <w:p>
      <w:pPr>
        <w:pStyle w:val="BodyText"/>
        <w:spacing w:line="276" w:lineRule="auto"/>
        <w:ind w:left="106" w:right="785" w:firstLine="226"/>
      </w:pPr>
      <w:r>
        <w:rPr>
          <w:color w:val="231F20"/>
        </w:rPr>
        <w:t>The term of office of a Board member expires no later than at the Annual General Meeting following his or her 72nd birthday.</w:t>
      </w:r>
    </w:p>
    <w:p>
      <w:pPr>
        <w:pStyle w:val="BodyText"/>
        <w:spacing w:line="208" w:lineRule="exact"/>
        <w:ind w:left="333"/>
      </w:pPr>
      <w:r>
        <w:rPr>
          <w:color w:val="231F20"/>
        </w:rPr>
        <w:t>For the principles of the selection procedure: see point</w:t>
      </w:r>
    </w:p>
    <w:p>
      <w:pPr>
        <w:pStyle w:val="BodyText"/>
        <w:spacing w:before="28"/>
        <w:ind w:left="106"/>
      </w:pPr>
      <w:r>
        <w:rPr>
          <w:color w:val="231F20"/>
        </w:rPr>
        <w:t>3.4.2 below (Nomination Committee).</w:t>
      </w:r>
    </w:p>
    <w:p>
      <w:pPr>
        <w:pStyle w:val="BodyText"/>
        <w:spacing w:line="276" w:lineRule="auto" w:before="31"/>
        <w:ind w:left="106" w:right="590" w:firstLine="226"/>
      </w:pPr>
      <w:r>
        <w:rPr>
          <w:color w:val="231F20"/>
        </w:rPr>
        <w:t>For the time of first election and remaining term of office see point 3.1 above.</w:t>
      </w:r>
    </w:p>
    <w:p>
      <w:pPr>
        <w:pStyle w:val="BodyText"/>
        <w:spacing w:line="276" w:lineRule="auto"/>
        <w:ind w:left="106" w:right="941" w:firstLine="226"/>
      </w:pPr>
      <w:r>
        <w:rPr>
          <w:color w:val="231F20"/>
          <w:w w:val="105"/>
        </w:rPr>
        <w:t>The Company will propose a revision of its Articles of Association to bring them in line with the new Swiss Corporate Law which went into effect 1 January 2014.</w:t>
      </w:r>
    </w:p>
    <w:p>
      <w:pPr>
        <w:spacing w:after="0" w:line="276" w:lineRule="auto"/>
        <w:sectPr>
          <w:type w:val="continuous"/>
          <w:pgSz w:w="11910" w:h="14750"/>
          <w:pgMar w:top="540" w:bottom="280" w:left="460" w:right="460"/>
          <w:cols w:num="2" w:equalWidth="0">
            <w:col w:w="5193" w:space="79"/>
            <w:col w:w="5718"/>
          </w:cols>
        </w:sectPr>
      </w:pPr>
    </w:p>
    <w:p>
      <w:pPr>
        <w:pStyle w:val="BodyText"/>
        <w:rPr>
          <w:sz w:val="20"/>
        </w:rPr>
      </w:pPr>
    </w:p>
    <w:p>
      <w:pPr>
        <w:pStyle w:val="BodyText"/>
        <w:rPr>
          <w:sz w:val="20"/>
        </w:rPr>
      </w:pPr>
    </w:p>
    <w:p>
      <w:pPr>
        <w:pStyle w:val="BodyText"/>
        <w:spacing w:before="9"/>
        <w:rPr>
          <w:sz w:val="15"/>
        </w:rPr>
      </w:pPr>
    </w:p>
    <w:p>
      <w:pPr>
        <w:pStyle w:val="Heading3"/>
        <w:numPr>
          <w:ilvl w:val="1"/>
          <w:numId w:val="6"/>
        </w:numPr>
        <w:tabs>
          <w:tab w:pos="1014" w:val="left" w:leader="none"/>
        </w:tabs>
        <w:spacing w:line="240" w:lineRule="auto" w:before="108" w:after="0"/>
        <w:ind w:left="560" w:right="0" w:firstLine="0"/>
        <w:jc w:val="left"/>
      </w:pPr>
      <w:r>
        <w:rPr>
          <w:color w:val="586670"/>
          <w:w w:val="105"/>
        </w:rPr>
        <w:t>Internal organisational</w:t>
      </w:r>
      <w:r>
        <w:rPr>
          <w:color w:val="586670"/>
          <w:spacing w:val="-8"/>
          <w:w w:val="105"/>
        </w:rPr>
        <w:t> </w:t>
      </w:r>
      <w:r>
        <w:rPr>
          <w:color w:val="586670"/>
          <w:w w:val="105"/>
        </w:rPr>
        <w:t>structure</w:t>
      </w:r>
    </w:p>
    <w:p>
      <w:pPr>
        <w:pStyle w:val="ListParagraph"/>
        <w:numPr>
          <w:ilvl w:val="2"/>
          <w:numId w:val="6"/>
        </w:numPr>
        <w:tabs>
          <w:tab w:pos="1015" w:val="left" w:leader="none"/>
        </w:tabs>
        <w:spacing w:line="240" w:lineRule="auto" w:before="31" w:after="0"/>
        <w:ind w:left="1014" w:right="0" w:hanging="454"/>
        <w:jc w:val="left"/>
        <w:rPr>
          <w:sz w:val="18"/>
        </w:rPr>
      </w:pPr>
      <w:r>
        <w:rPr>
          <w:color w:val="586670"/>
          <w:sz w:val="18"/>
        </w:rPr>
        <w:t>Allocation</w:t>
      </w:r>
      <w:r>
        <w:rPr>
          <w:color w:val="586670"/>
          <w:spacing w:val="-8"/>
          <w:sz w:val="18"/>
        </w:rPr>
        <w:t> </w:t>
      </w:r>
      <w:r>
        <w:rPr>
          <w:color w:val="586670"/>
          <w:sz w:val="18"/>
        </w:rPr>
        <w:t>of</w:t>
      </w:r>
      <w:r>
        <w:rPr>
          <w:color w:val="586670"/>
          <w:spacing w:val="-7"/>
          <w:sz w:val="18"/>
        </w:rPr>
        <w:t> </w:t>
      </w:r>
      <w:r>
        <w:rPr>
          <w:color w:val="586670"/>
          <w:sz w:val="18"/>
        </w:rPr>
        <w:t>tasks</w:t>
      </w:r>
      <w:r>
        <w:rPr>
          <w:color w:val="586670"/>
          <w:spacing w:val="-7"/>
          <w:sz w:val="18"/>
        </w:rPr>
        <w:t> </w:t>
      </w:r>
      <w:r>
        <w:rPr>
          <w:color w:val="586670"/>
          <w:sz w:val="18"/>
        </w:rPr>
        <w:t>within</w:t>
      </w:r>
      <w:r>
        <w:rPr>
          <w:color w:val="586670"/>
          <w:spacing w:val="-7"/>
          <w:sz w:val="18"/>
        </w:rPr>
        <w:t> </w:t>
      </w:r>
      <w:r>
        <w:rPr>
          <w:color w:val="586670"/>
          <w:sz w:val="18"/>
        </w:rPr>
        <w:t>the</w:t>
      </w:r>
      <w:r>
        <w:rPr>
          <w:color w:val="586670"/>
          <w:spacing w:val="-7"/>
          <w:sz w:val="18"/>
        </w:rPr>
        <w:t> </w:t>
      </w:r>
      <w:r>
        <w:rPr>
          <w:color w:val="586670"/>
          <w:sz w:val="18"/>
        </w:rPr>
        <w:t>Board</w:t>
      </w:r>
      <w:r>
        <w:rPr>
          <w:color w:val="586670"/>
          <w:spacing w:val="-7"/>
          <w:sz w:val="18"/>
        </w:rPr>
        <w:t> </w:t>
      </w:r>
      <w:r>
        <w:rPr>
          <w:color w:val="586670"/>
          <w:sz w:val="18"/>
        </w:rPr>
        <w:t>of</w:t>
      </w:r>
      <w:r>
        <w:rPr>
          <w:color w:val="586670"/>
          <w:spacing w:val="-7"/>
          <w:sz w:val="18"/>
        </w:rPr>
        <w:t> </w:t>
      </w:r>
      <w:r>
        <w:rPr>
          <w:color w:val="586670"/>
          <w:sz w:val="18"/>
        </w:rPr>
        <w:t>Directors</w:t>
      </w:r>
    </w:p>
    <w:p>
      <w:pPr>
        <w:pStyle w:val="BodyText"/>
        <w:rPr>
          <w:sz w:val="20"/>
        </w:rPr>
      </w:pPr>
    </w:p>
    <w:p>
      <w:pPr>
        <w:pStyle w:val="BodyText"/>
        <w:spacing w:before="6"/>
        <w:rPr>
          <w:sz w:val="22"/>
        </w:rPr>
      </w:pPr>
    </w:p>
    <w:tbl>
      <w:tblPr>
        <w:tblW w:w="0" w:type="auto"/>
        <w:jc w:val="left"/>
        <w:tblInd w:w="5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73"/>
        <w:gridCol w:w="2696"/>
        <w:gridCol w:w="1483"/>
        <w:gridCol w:w="1657"/>
        <w:gridCol w:w="2007"/>
      </w:tblGrid>
      <w:tr>
        <w:trPr>
          <w:trHeight w:val="477" w:hRule="atLeast"/>
        </w:trPr>
        <w:tc>
          <w:tcPr>
            <w:tcW w:w="2473" w:type="dxa"/>
            <w:tcBorders>
              <w:top w:val="single" w:sz="2" w:space="0" w:color="231F20"/>
              <w:bottom w:val="single" w:sz="2" w:space="0" w:color="231F20"/>
            </w:tcBorders>
          </w:tcPr>
          <w:p>
            <w:pPr>
              <w:pStyle w:val="TableParagraph"/>
              <w:spacing w:line="240" w:lineRule="auto" w:before="0"/>
              <w:rPr>
                <w:rFonts w:ascii="Times New Roman"/>
                <w:sz w:val="16"/>
              </w:rPr>
            </w:pPr>
          </w:p>
        </w:tc>
        <w:tc>
          <w:tcPr>
            <w:tcW w:w="2696" w:type="dxa"/>
            <w:tcBorders>
              <w:top w:val="single" w:sz="2" w:space="0" w:color="231F20"/>
              <w:bottom w:val="single" w:sz="2" w:space="0" w:color="231F20"/>
            </w:tcBorders>
          </w:tcPr>
          <w:p>
            <w:pPr>
              <w:pStyle w:val="TableParagraph"/>
              <w:spacing w:line="247" w:lineRule="auto"/>
              <w:ind w:left="815"/>
              <w:rPr>
                <w:sz w:val="15"/>
              </w:rPr>
            </w:pPr>
            <w:r>
              <w:rPr>
                <w:color w:val="231F20"/>
                <w:sz w:val="15"/>
              </w:rPr>
              <w:t>Chairman’s and Corporate Governance Committee</w:t>
            </w:r>
          </w:p>
        </w:tc>
        <w:tc>
          <w:tcPr>
            <w:tcW w:w="1483" w:type="dxa"/>
            <w:tcBorders>
              <w:top w:val="single" w:sz="2" w:space="0" w:color="231F20"/>
              <w:bottom w:val="single" w:sz="2" w:space="0" w:color="231F20"/>
            </w:tcBorders>
          </w:tcPr>
          <w:p>
            <w:pPr>
              <w:pStyle w:val="TableParagraph"/>
              <w:spacing w:line="247" w:lineRule="auto"/>
              <w:ind w:left="103"/>
              <w:rPr>
                <w:sz w:val="15"/>
              </w:rPr>
            </w:pPr>
            <w:r>
              <w:rPr>
                <w:color w:val="231F20"/>
                <w:sz w:val="15"/>
              </w:rPr>
              <w:t>Compensation Committee</w:t>
            </w:r>
          </w:p>
        </w:tc>
        <w:tc>
          <w:tcPr>
            <w:tcW w:w="1657" w:type="dxa"/>
            <w:tcBorders>
              <w:top w:val="single" w:sz="2" w:space="0" w:color="231F20"/>
              <w:bottom w:val="single" w:sz="2" w:space="0" w:color="231F20"/>
            </w:tcBorders>
          </w:tcPr>
          <w:p>
            <w:pPr>
              <w:pStyle w:val="TableParagraph"/>
              <w:spacing w:line="247" w:lineRule="auto"/>
              <w:ind w:left="377"/>
              <w:rPr>
                <w:sz w:val="15"/>
              </w:rPr>
            </w:pPr>
            <w:r>
              <w:rPr>
                <w:color w:val="231F20"/>
                <w:sz w:val="15"/>
              </w:rPr>
              <w:t>Nomination Committee</w:t>
            </w:r>
          </w:p>
        </w:tc>
        <w:tc>
          <w:tcPr>
            <w:tcW w:w="2007" w:type="dxa"/>
            <w:tcBorders>
              <w:top w:val="single" w:sz="2" w:space="0" w:color="231F20"/>
              <w:bottom w:val="single" w:sz="2" w:space="0" w:color="231F20"/>
            </w:tcBorders>
          </w:tcPr>
          <w:p>
            <w:pPr>
              <w:pStyle w:val="TableParagraph"/>
              <w:spacing w:line="247" w:lineRule="auto"/>
              <w:ind w:left="478" w:right="448"/>
              <w:rPr>
                <w:sz w:val="15"/>
              </w:rPr>
            </w:pPr>
            <w:r>
              <w:rPr>
                <w:color w:val="231F20"/>
                <w:sz w:val="15"/>
              </w:rPr>
              <w:t>Audit Committee</w:t>
            </w:r>
          </w:p>
        </w:tc>
      </w:tr>
      <w:tr>
        <w:trPr>
          <w:trHeight w:val="475" w:hRule="atLeast"/>
        </w:trPr>
        <w:tc>
          <w:tcPr>
            <w:tcW w:w="2473" w:type="dxa"/>
            <w:tcBorders>
              <w:top w:val="single" w:sz="2" w:space="0" w:color="231F20"/>
              <w:bottom w:val="single" w:sz="2" w:space="0" w:color="8F999F"/>
            </w:tcBorders>
          </w:tcPr>
          <w:p>
            <w:pPr>
              <w:pStyle w:val="TableParagraph"/>
              <w:spacing w:line="247" w:lineRule="auto" w:before="40"/>
              <w:ind w:right="806"/>
              <w:rPr>
                <w:sz w:val="15"/>
              </w:rPr>
            </w:pPr>
            <w:r>
              <w:rPr>
                <w:color w:val="231F20"/>
                <w:sz w:val="15"/>
              </w:rPr>
              <w:t>Peter Brabeck-Letmathe Chairman</w:t>
            </w:r>
          </w:p>
        </w:tc>
        <w:tc>
          <w:tcPr>
            <w:tcW w:w="2696" w:type="dxa"/>
            <w:tcBorders>
              <w:top w:val="single" w:sz="2" w:space="0" w:color="231F20"/>
              <w:bottom w:val="single" w:sz="2" w:space="0" w:color="8F999F"/>
            </w:tcBorders>
          </w:tcPr>
          <w:p>
            <w:pPr>
              <w:pStyle w:val="TableParagraph"/>
              <w:numPr>
                <w:ilvl w:val="0"/>
                <w:numId w:val="7"/>
              </w:numPr>
              <w:tabs>
                <w:tab w:pos="931" w:val="left" w:leader="none"/>
              </w:tabs>
              <w:spacing w:line="240" w:lineRule="auto" w:before="40" w:after="0"/>
              <w:ind w:left="930" w:right="0" w:hanging="115"/>
              <w:jc w:val="left"/>
              <w:rPr>
                <w:sz w:val="15"/>
              </w:rPr>
            </w:pPr>
            <w:r>
              <w:rPr>
                <w:color w:val="231F20"/>
                <w:sz w:val="15"/>
              </w:rPr>
              <w:t>(Chair)</w:t>
            </w:r>
          </w:p>
        </w:tc>
        <w:tc>
          <w:tcPr>
            <w:tcW w:w="1483" w:type="dxa"/>
            <w:tcBorders>
              <w:top w:val="single" w:sz="2" w:space="0" w:color="231F20"/>
              <w:bottom w:val="single" w:sz="2" w:space="0" w:color="8F999F"/>
            </w:tcBorders>
          </w:tcPr>
          <w:p>
            <w:pPr>
              <w:pStyle w:val="TableParagraph"/>
              <w:spacing w:line="240" w:lineRule="auto" w:before="0"/>
              <w:rPr>
                <w:rFonts w:ascii="Times New Roman"/>
                <w:sz w:val="16"/>
              </w:rPr>
            </w:pPr>
          </w:p>
        </w:tc>
        <w:tc>
          <w:tcPr>
            <w:tcW w:w="1657" w:type="dxa"/>
            <w:tcBorders>
              <w:top w:val="single" w:sz="2" w:space="0" w:color="231F20"/>
              <w:bottom w:val="single" w:sz="2" w:space="0" w:color="8F999F"/>
            </w:tcBorders>
          </w:tcPr>
          <w:p>
            <w:pPr>
              <w:pStyle w:val="TableParagraph"/>
              <w:spacing w:line="240" w:lineRule="auto" w:before="40"/>
              <w:ind w:left="377"/>
              <w:rPr>
                <w:sz w:val="15"/>
              </w:rPr>
            </w:pPr>
            <w:r>
              <w:rPr>
                <w:color w:val="0083CA"/>
                <w:w w:val="98"/>
                <w:sz w:val="15"/>
              </w:rPr>
              <w:t>•</w:t>
            </w:r>
          </w:p>
        </w:tc>
        <w:tc>
          <w:tcPr>
            <w:tcW w:w="2007" w:type="dxa"/>
            <w:tcBorders>
              <w:top w:val="single" w:sz="2" w:space="0" w:color="231F20"/>
              <w:bottom w:val="single" w:sz="2" w:space="0" w:color="8F999F"/>
            </w:tcBorders>
          </w:tcPr>
          <w:p>
            <w:pPr>
              <w:pStyle w:val="TableParagraph"/>
              <w:spacing w:line="240" w:lineRule="auto" w:before="0"/>
              <w:rPr>
                <w:rFonts w:ascii="Times New Roman"/>
                <w:sz w:val="16"/>
              </w:rPr>
            </w:pPr>
          </w:p>
        </w:tc>
      </w:tr>
      <w:tr>
        <w:trPr>
          <w:trHeight w:val="475" w:hRule="atLeast"/>
        </w:trPr>
        <w:tc>
          <w:tcPr>
            <w:tcW w:w="2473" w:type="dxa"/>
            <w:tcBorders>
              <w:top w:val="single" w:sz="2" w:space="0" w:color="8F999F"/>
              <w:bottom w:val="single" w:sz="2" w:space="0" w:color="8F999F"/>
            </w:tcBorders>
          </w:tcPr>
          <w:p>
            <w:pPr>
              <w:pStyle w:val="TableParagraph"/>
              <w:spacing w:line="247" w:lineRule="auto" w:before="40"/>
              <w:ind w:right="1676"/>
              <w:rPr>
                <w:sz w:val="15"/>
              </w:rPr>
            </w:pPr>
            <w:r>
              <w:rPr>
                <w:color w:val="231F20"/>
                <w:sz w:val="15"/>
              </w:rPr>
              <w:t>Paul Bulcke CEO</w:t>
            </w:r>
          </w:p>
        </w:tc>
        <w:tc>
          <w:tcPr>
            <w:tcW w:w="2696" w:type="dxa"/>
            <w:tcBorders>
              <w:top w:val="single" w:sz="2" w:space="0" w:color="8F999F"/>
              <w:bottom w:val="single" w:sz="2" w:space="0" w:color="8F999F"/>
            </w:tcBorders>
          </w:tcPr>
          <w:p>
            <w:pPr>
              <w:pStyle w:val="TableParagraph"/>
              <w:spacing w:line="240" w:lineRule="auto" w:before="40"/>
              <w:ind w:left="815"/>
              <w:rPr>
                <w:sz w:val="15"/>
              </w:rPr>
            </w:pPr>
            <w:r>
              <w:rPr>
                <w:color w:val="0083CA"/>
                <w:w w:val="98"/>
                <w:sz w:val="15"/>
              </w:rPr>
              <w:t>•</w:t>
            </w:r>
          </w:p>
        </w:tc>
        <w:tc>
          <w:tcPr>
            <w:tcW w:w="1483"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475" w:hRule="atLeast"/>
        </w:trPr>
        <w:tc>
          <w:tcPr>
            <w:tcW w:w="2473" w:type="dxa"/>
            <w:tcBorders>
              <w:top w:val="single" w:sz="2" w:space="0" w:color="8F999F"/>
              <w:bottom w:val="single" w:sz="2" w:space="0" w:color="8F999F"/>
            </w:tcBorders>
          </w:tcPr>
          <w:p>
            <w:pPr>
              <w:pStyle w:val="TableParagraph"/>
              <w:spacing w:line="247" w:lineRule="auto" w:before="40"/>
              <w:ind w:right="1017"/>
              <w:rPr>
                <w:sz w:val="15"/>
              </w:rPr>
            </w:pPr>
            <w:r>
              <w:rPr>
                <w:color w:val="231F20"/>
                <w:sz w:val="15"/>
              </w:rPr>
              <w:t>Andreas Koopmann 1st Vice Chairman</w:t>
            </w:r>
          </w:p>
        </w:tc>
        <w:tc>
          <w:tcPr>
            <w:tcW w:w="2696" w:type="dxa"/>
            <w:tcBorders>
              <w:top w:val="single" w:sz="2" w:space="0" w:color="8F999F"/>
              <w:bottom w:val="single" w:sz="2" w:space="0" w:color="8F999F"/>
            </w:tcBorders>
          </w:tcPr>
          <w:p>
            <w:pPr>
              <w:pStyle w:val="TableParagraph"/>
              <w:spacing w:line="240" w:lineRule="auto" w:before="40"/>
              <w:ind w:left="815"/>
              <w:rPr>
                <w:sz w:val="15"/>
              </w:rPr>
            </w:pPr>
            <w:r>
              <w:rPr>
                <w:color w:val="0083CA"/>
                <w:w w:val="98"/>
                <w:sz w:val="15"/>
              </w:rPr>
              <w:t>•</w:t>
            </w:r>
          </w:p>
        </w:tc>
        <w:tc>
          <w:tcPr>
            <w:tcW w:w="1483" w:type="dxa"/>
            <w:tcBorders>
              <w:top w:val="single" w:sz="2" w:space="0" w:color="8F999F"/>
              <w:bottom w:val="single" w:sz="2" w:space="0" w:color="8F999F"/>
            </w:tcBorders>
          </w:tcPr>
          <w:p>
            <w:pPr>
              <w:pStyle w:val="TableParagraph"/>
              <w:spacing w:line="240" w:lineRule="auto" w:before="40"/>
              <w:ind w:left="103"/>
              <w:rPr>
                <w:sz w:val="15"/>
              </w:rPr>
            </w:pPr>
            <w:r>
              <w:rPr>
                <w:color w:val="0083CA"/>
                <w:w w:val="98"/>
                <w:sz w:val="15"/>
              </w:rPr>
              <w:t>•</w:t>
            </w:r>
          </w:p>
        </w:tc>
        <w:tc>
          <w:tcPr>
            <w:tcW w:w="1657" w:type="dxa"/>
            <w:tcBorders>
              <w:top w:val="single" w:sz="2" w:space="0" w:color="8F999F"/>
              <w:bottom w:val="single" w:sz="2" w:space="0" w:color="8F999F"/>
            </w:tcBorders>
          </w:tcPr>
          <w:p>
            <w:pPr>
              <w:pStyle w:val="TableParagraph"/>
              <w:numPr>
                <w:ilvl w:val="0"/>
                <w:numId w:val="8"/>
              </w:numPr>
              <w:tabs>
                <w:tab w:pos="493" w:val="left" w:leader="none"/>
              </w:tabs>
              <w:spacing w:line="240" w:lineRule="auto" w:before="40" w:after="0"/>
              <w:ind w:left="492" w:right="0" w:hanging="115"/>
              <w:jc w:val="left"/>
              <w:rPr>
                <w:sz w:val="15"/>
              </w:rPr>
            </w:pPr>
            <w:r>
              <w:rPr>
                <w:color w:val="231F20"/>
                <w:sz w:val="15"/>
              </w:rPr>
              <w:t>(Chair)</w:t>
            </w: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474" w:hRule="atLeast"/>
        </w:trPr>
        <w:tc>
          <w:tcPr>
            <w:tcW w:w="2473" w:type="dxa"/>
            <w:tcBorders>
              <w:top w:val="single" w:sz="2" w:space="0" w:color="8F999F"/>
              <w:bottom w:val="single" w:sz="2" w:space="0" w:color="8F999F"/>
            </w:tcBorders>
          </w:tcPr>
          <w:p>
            <w:pPr>
              <w:pStyle w:val="TableParagraph"/>
              <w:spacing w:line="240" w:lineRule="auto" w:before="40"/>
              <w:rPr>
                <w:sz w:val="15"/>
              </w:rPr>
            </w:pPr>
            <w:r>
              <w:rPr>
                <w:color w:val="231F20"/>
                <w:sz w:val="15"/>
              </w:rPr>
              <w:t>Rolf Hänggi</w:t>
            </w:r>
          </w:p>
          <w:p>
            <w:pPr>
              <w:pStyle w:val="TableParagraph"/>
              <w:spacing w:line="240" w:lineRule="auto" w:before="6"/>
              <w:rPr>
                <w:sz w:val="15"/>
              </w:rPr>
            </w:pPr>
            <w:r>
              <w:rPr>
                <w:color w:val="231F20"/>
                <w:sz w:val="15"/>
              </w:rPr>
              <w:t>2nd Vice Chairman</w:t>
            </w:r>
          </w:p>
        </w:tc>
        <w:tc>
          <w:tcPr>
            <w:tcW w:w="2696" w:type="dxa"/>
            <w:tcBorders>
              <w:top w:val="single" w:sz="2" w:space="0" w:color="8F999F"/>
              <w:bottom w:val="single" w:sz="2" w:space="0" w:color="8F999F"/>
            </w:tcBorders>
          </w:tcPr>
          <w:p>
            <w:pPr>
              <w:pStyle w:val="TableParagraph"/>
              <w:spacing w:line="240" w:lineRule="auto" w:before="40"/>
              <w:ind w:left="815"/>
              <w:rPr>
                <w:sz w:val="15"/>
              </w:rPr>
            </w:pPr>
            <w:r>
              <w:rPr>
                <w:color w:val="0083CA"/>
                <w:w w:val="98"/>
                <w:sz w:val="15"/>
              </w:rPr>
              <w:t>•</w:t>
            </w:r>
          </w:p>
        </w:tc>
        <w:tc>
          <w:tcPr>
            <w:tcW w:w="1483"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numPr>
                <w:ilvl w:val="0"/>
                <w:numId w:val="9"/>
              </w:numPr>
              <w:tabs>
                <w:tab w:pos="594" w:val="left" w:leader="none"/>
              </w:tabs>
              <w:spacing w:line="240" w:lineRule="auto" w:before="40" w:after="0"/>
              <w:ind w:left="593" w:right="0" w:hanging="115"/>
              <w:jc w:val="left"/>
              <w:rPr>
                <w:sz w:val="15"/>
              </w:rPr>
            </w:pPr>
            <w:r>
              <w:rPr>
                <w:color w:val="231F20"/>
                <w:sz w:val="15"/>
              </w:rPr>
              <w:t>(Chair)</w:t>
            </w:r>
          </w:p>
        </w:tc>
      </w:tr>
      <w:tr>
        <w:trPr>
          <w:trHeight w:val="232" w:hRule="atLeast"/>
        </w:trPr>
        <w:tc>
          <w:tcPr>
            <w:tcW w:w="2473" w:type="dxa"/>
            <w:tcBorders>
              <w:top w:val="single" w:sz="2" w:space="0" w:color="8F999F"/>
              <w:bottom w:val="single" w:sz="2" w:space="0" w:color="8F999F"/>
            </w:tcBorders>
          </w:tcPr>
          <w:p>
            <w:pPr>
              <w:pStyle w:val="TableParagraph"/>
              <w:spacing w:before="40"/>
              <w:rPr>
                <w:sz w:val="15"/>
              </w:rPr>
            </w:pPr>
            <w:r>
              <w:rPr>
                <w:color w:val="231F20"/>
                <w:w w:val="105"/>
                <w:sz w:val="15"/>
              </w:rPr>
              <w:t>Beat Hess</w:t>
            </w:r>
          </w:p>
        </w:tc>
        <w:tc>
          <w:tcPr>
            <w:tcW w:w="2696" w:type="dxa"/>
            <w:tcBorders>
              <w:top w:val="single" w:sz="2" w:space="0" w:color="8F999F"/>
              <w:bottom w:val="single" w:sz="2" w:space="0" w:color="8F999F"/>
            </w:tcBorders>
          </w:tcPr>
          <w:p>
            <w:pPr>
              <w:pStyle w:val="TableParagraph"/>
              <w:spacing w:before="40"/>
              <w:ind w:left="815"/>
              <w:rPr>
                <w:sz w:val="15"/>
              </w:rPr>
            </w:pPr>
            <w:r>
              <w:rPr>
                <w:color w:val="0083CA"/>
                <w:w w:val="98"/>
                <w:sz w:val="15"/>
              </w:rPr>
              <w:t>•</w:t>
            </w:r>
          </w:p>
        </w:tc>
        <w:tc>
          <w:tcPr>
            <w:tcW w:w="1483"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Daniel Borel</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3" w:type="dxa"/>
            <w:tcBorders>
              <w:top w:val="single" w:sz="2" w:space="0" w:color="8F999F"/>
              <w:bottom w:val="single" w:sz="2" w:space="0" w:color="8F999F"/>
            </w:tcBorders>
          </w:tcPr>
          <w:p>
            <w:pPr>
              <w:pStyle w:val="TableParagraph"/>
              <w:numPr>
                <w:ilvl w:val="0"/>
                <w:numId w:val="10"/>
              </w:numPr>
              <w:tabs>
                <w:tab w:pos="219" w:val="left" w:leader="none"/>
              </w:tabs>
              <w:spacing w:line="172" w:lineRule="exact" w:before="43" w:after="0"/>
              <w:ind w:left="218" w:right="0" w:hanging="115"/>
              <w:jc w:val="left"/>
              <w:rPr>
                <w:sz w:val="15"/>
              </w:rPr>
            </w:pPr>
            <w:r>
              <w:rPr>
                <w:color w:val="231F20"/>
                <w:sz w:val="15"/>
              </w:rPr>
              <w:t>(Chair)</w:t>
            </w: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Jean-Pierre Meyers</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3" w:type="dxa"/>
            <w:tcBorders>
              <w:top w:val="single" w:sz="2" w:space="0" w:color="8F999F"/>
              <w:bottom w:val="single" w:sz="2" w:space="0" w:color="8F999F"/>
            </w:tcBorders>
          </w:tcPr>
          <w:p>
            <w:pPr>
              <w:pStyle w:val="TableParagraph"/>
              <w:ind w:left="103"/>
              <w:rPr>
                <w:sz w:val="15"/>
              </w:rPr>
            </w:pPr>
            <w:r>
              <w:rPr>
                <w:color w:val="0083CA"/>
                <w:w w:val="98"/>
                <w:sz w:val="15"/>
              </w:rPr>
              <w:t>•</w:t>
            </w: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w w:val="105"/>
                <w:sz w:val="15"/>
              </w:rPr>
              <w:t>Steven G. Hoch</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3"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7" w:type="dxa"/>
            <w:tcBorders>
              <w:top w:val="single" w:sz="2" w:space="0" w:color="8F999F"/>
              <w:bottom w:val="single" w:sz="2" w:space="0" w:color="8F999F"/>
            </w:tcBorders>
          </w:tcPr>
          <w:p>
            <w:pPr>
              <w:pStyle w:val="TableParagraph"/>
              <w:ind w:left="377"/>
              <w:rPr>
                <w:sz w:val="15"/>
              </w:rPr>
            </w:pPr>
            <w:r>
              <w:rPr>
                <w:color w:val="0083CA"/>
                <w:w w:val="98"/>
                <w:sz w:val="15"/>
              </w:rPr>
              <w:t>•</w:t>
            </w: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Naïna Lal Kidwai</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3"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ind w:left="478"/>
              <w:rPr>
                <w:sz w:val="15"/>
              </w:rPr>
            </w:pPr>
            <w:r>
              <w:rPr>
                <w:color w:val="0083CA"/>
                <w:w w:val="98"/>
                <w:sz w:val="15"/>
              </w:rPr>
              <w:t>•</w:t>
            </w: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Titia de Lange</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3"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Jean-Pierre Roth</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3" w:type="dxa"/>
            <w:tcBorders>
              <w:top w:val="single" w:sz="2" w:space="0" w:color="8F999F"/>
              <w:bottom w:val="single" w:sz="2" w:space="0" w:color="8F999F"/>
            </w:tcBorders>
          </w:tcPr>
          <w:p>
            <w:pPr>
              <w:pStyle w:val="TableParagraph"/>
              <w:ind w:left="103"/>
              <w:rPr>
                <w:sz w:val="15"/>
              </w:rPr>
            </w:pPr>
            <w:r>
              <w:rPr>
                <w:color w:val="0083CA"/>
                <w:w w:val="98"/>
                <w:sz w:val="15"/>
              </w:rPr>
              <w:t>•</w:t>
            </w: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w w:val="105"/>
                <w:sz w:val="15"/>
              </w:rPr>
              <w:t>Ann M. Veneman</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3"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7" w:type="dxa"/>
            <w:tcBorders>
              <w:top w:val="single" w:sz="2" w:space="0" w:color="8F999F"/>
              <w:bottom w:val="single" w:sz="2" w:space="0" w:color="8F999F"/>
            </w:tcBorders>
          </w:tcPr>
          <w:p>
            <w:pPr>
              <w:pStyle w:val="TableParagraph"/>
              <w:ind w:left="377"/>
              <w:rPr>
                <w:sz w:val="15"/>
              </w:rPr>
            </w:pPr>
            <w:r>
              <w:rPr>
                <w:color w:val="0083CA"/>
                <w:w w:val="98"/>
                <w:sz w:val="15"/>
              </w:rPr>
              <w:t>•</w:t>
            </w: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Henri de Castries</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3"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ind w:left="478"/>
              <w:rPr>
                <w:sz w:val="15"/>
              </w:rPr>
            </w:pPr>
            <w:r>
              <w:rPr>
                <w:color w:val="0083CA"/>
                <w:w w:val="98"/>
                <w:sz w:val="15"/>
              </w:rPr>
              <w:t>•</w:t>
            </w: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w w:val="105"/>
                <w:sz w:val="15"/>
              </w:rPr>
              <w:t>Eva Cheng</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3"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7"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bl>
    <w:p>
      <w:pPr>
        <w:pStyle w:val="BodyText"/>
        <w:rPr>
          <w:sz w:val="20"/>
        </w:rPr>
      </w:pPr>
    </w:p>
    <w:p>
      <w:pPr>
        <w:spacing w:after="0"/>
        <w:rPr>
          <w:sz w:val="20"/>
        </w:rPr>
        <w:sectPr>
          <w:footerReference w:type="default" r:id="rId52"/>
          <w:footerReference w:type="even" r:id="rId53"/>
          <w:pgSz w:w="11910" w:h="14750"/>
          <w:pgMar w:footer="896" w:header="642" w:top="840" w:bottom="1080" w:left="460" w:right="460"/>
          <w:pgNumType w:start="21"/>
        </w:sectPr>
      </w:pPr>
    </w:p>
    <w:p>
      <w:pPr>
        <w:pStyle w:val="BodyText"/>
        <w:spacing w:before="4"/>
        <w:rPr>
          <w:sz w:val="22"/>
        </w:rPr>
      </w:pPr>
    </w:p>
    <w:p>
      <w:pPr>
        <w:pStyle w:val="ListParagraph"/>
        <w:numPr>
          <w:ilvl w:val="2"/>
          <w:numId w:val="6"/>
        </w:numPr>
        <w:tabs>
          <w:tab w:pos="1024" w:val="left" w:leader="none"/>
        </w:tabs>
        <w:spacing w:line="271" w:lineRule="auto" w:before="0" w:after="0"/>
        <w:ind w:left="1014" w:right="261" w:hanging="454"/>
        <w:jc w:val="left"/>
        <w:rPr>
          <w:sz w:val="13"/>
        </w:rPr>
      </w:pPr>
      <w:r>
        <w:rPr>
          <w:color w:val="586670"/>
          <w:spacing w:val="-3"/>
          <w:sz w:val="18"/>
        </w:rPr>
        <w:t>Tasks </w:t>
      </w:r>
      <w:r>
        <w:rPr>
          <w:color w:val="586670"/>
          <w:sz w:val="18"/>
        </w:rPr>
        <w:t>and area of responsibility for each Committee of the Board of Directors</w:t>
      </w:r>
      <w:r>
        <w:rPr>
          <w:color w:val="586670"/>
          <w:spacing w:val="-36"/>
          <w:sz w:val="18"/>
        </w:rPr>
        <w:t> </w:t>
      </w:r>
      <w:r>
        <w:rPr>
          <w:color w:val="586670"/>
          <w:spacing w:val="-6"/>
          <w:position w:val="5"/>
          <w:sz w:val="13"/>
        </w:rPr>
        <w:t>(1)</w:t>
      </w:r>
    </w:p>
    <w:p>
      <w:pPr>
        <w:pStyle w:val="BodyText"/>
        <w:spacing w:line="276" w:lineRule="auto" w:before="5"/>
        <w:ind w:left="560" w:right="342"/>
        <w:jc w:val="both"/>
      </w:pPr>
      <w:r>
        <w:rPr>
          <w:color w:val="231F20"/>
        </w:rPr>
        <w:t>The powers and responsibilities of each Committee are established in the applicable Committee Charter, which is approved by the Board. Each Committee is entitled to engage outside</w:t>
      </w:r>
      <w:r>
        <w:rPr>
          <w:color w:val="231F20"/>
          <w:spacing w:val="-3"/>
        </w:rPr>
        <w:t> </w:t>
      </w:r>
      <w:r>
        <w:rPr>
          <w:color w:val="231F20"/>
        </w:rPr>
        <w:t>counsel.</w:t>
      </w:r>
    </w:p>
    <w:p>
      <w:pPr>
        <w:pStyle w:val="BodyText"/>
        <w:spacing w:before="6"/>
        <w:rPr>
          <w:sz w:val="20"/>
        </w:rPr>
      </w:pPr>
    </w:p>
    <w:p>
      <w:pPr>
        <w:pStyle w:val="BodyText"/>
        <w:spacing w:line="276" w:lineRule="auto"/>
        <w:ind w:left="560" w:right="48"/>
      </w:pPr>
      <w:r>
        <w:rPr>
          <w:color w:val="231F20"/>
          <w:w w:val="105"/>
        </w:rPr>
        <w:t>The </w:t>
      </w:r>
      <w:r>
        <w:rPr>
          <w:rFonts w:ascii="Arial" w:hAnsi="Arial"/>
          <w:color w:val="231F20"/>
          <w:w w:val="105"/>
        </w:rPr>
        <w:t>Chairman’s and Corporate Governance Committee </w:t>
      </w:r>
      <w:r>
        <w:rPr>
          <w:color w:val="231F20"/>
          <w:w w:val="105"/>
        </w:rPr>
        <w:t>consists of the Chairman, the two Vice Chairmen, the CEO (Administrateur délégué) and other members as elected by the Board. It liaises between the Chairman and the full Board of Directors in order to act as a consultant body to the Chairman and to expedite whenever necessary the handling of the Company’s business. The Committee regularly reviews the Corporate Governance of the Company and prepares recommendations for the Board.</w:t>
      </w:r>
    </w:p>
    <w:p>
      <w:pPr>
        <w:pStyle w:val="BodyText"/>
        <w:spacing w:line="276" w:lineRule="auto"/>
        <w:ind w:left="560" w:right="48"/>
      </w:pPr>
      <w:r>
        <w:rPr>
          <w:color w:val="231F20"/>
        </w:rPr>
        <w:t>It also advises on certain finance-related matters including the Company’s financing and financial management and periodically reviews its asset and liability</w:t>
      </w:r>
      <w:r>
        <w:rPr>
          <w:color w:val="231F20"/>
          <w:spacing w:val="19"/>
        </w:rPr>
        <w:t> </w:t>
      </w:r>
      <w:r>
        <w:rPr>
          <w:color w:val="231F20"/>
        </w:rPr>
        <w:t>management.</w:t>
      </w:r>
    </w:p>
    <w:p>
      <w:pPr>
        <w:pStyle w:val="BodyText"/>
        <w:spacing w:line="276" w:lineRule="auto"/>
        <w:ind w:left="560" w:right="48" w:firstLine="226"/>
      </w:pPr>
      <w:r>
        <w:rPr>
          <w:color w:val="231F20"/>
        </w:rPr>
        <w:t>While the Committee has limited authority as per the Board Regulations, it may in exceptional and urgent matters deal with business matters which might arise</w:t>
      </w:r>
      <w:r>
        <w:rPr>
          <w:color w:val="231F20"/>
          <w:spacing w:val="3"/>
        </w:rPr>
        <w:t> </w:t>
      </w:r>
      <w:r>
        <w:rPr>
          <w:color w:val="231F20"/>
        </w:rPr>
        <w:t>between</w:t>
      </w:r>
    </w:p>
    <w:p>
      <w:pPr>
        <w:pStyle w:val="BodyText"/>
        <w:spacing w:before="4"/>
        <w:rPr>
          <w:sz w:val="22"/>
        </w:rPr>
      </w:pPr>
      <w:r>
        <w:rPr/>
        <w:br w:type="column"/>
      </w:r>
      <w:r>
        <w:rPr>
          <w:sz w:val="22"/>
        </w:rPr>
      </w:r>
    </w:p>
    <w:p>
      <w:pPr>
        <w:pStyle w:val="BodyText"/>
        <w:spacing w:line="276" w:lineRule="auto"/>
        <w:ind w:left="220" w:right="135"/>
      </w:pPr>
      <w:r>
        <w:rPr>
          <w:color w:val="231F20"/>
        </w:rPr>
        <w:t>Board meetings. In all cases it keeps the Board fully appraised. It reviews the Board’s annual work plan.</w:t>
      </w:r>
    </w:p>
    <w:p>
      <w:pPr>
        <w:pStyle w:val="BodyText"/>
        <w:spacing w:before="7"/>
        <w:rPr>
          <w:sz w:val="20"/>
        </w:rPr>
      </w:pPr>
    </w:p>
    <w:p>
      <w:pPr>
        <w:pStyle w:val="BodyText"/>
        <w:spacing w:line="276" w:lineRule="auto" w:before="1"/>
        <w:ind w:left="220" w:right="135"/>
      </w:pPr>
      <w:r>
        <w:rPr>
          <w:color w:val="231F20"/>
        </w:rPr>
        <w:t>The </w:t>
      </w:r>
      <w:r>
        <w:rPr>
          <w:rFonts w:ascii="Arial"/>
          <w:color w:val="231F20"/>
        </w:rPr>
        <w:t>Compensation Committee </w:t>
      </w:r>
      <w:r>
        <w:rPr>
          <w:color w:val="231F20"/>
        </w:rPr>
        <w:t>is chaired by an independent and non-executive member of the Board; the other members are one Vice Chairman and a minimum of two other non- executive members of the Board of Directors. All members are independent. The Compensation Committee determines the principles for remuneration of the members of the Board and submits them to the Board for approval. It oversees and discusses the remuneration principles for the Company and the Group. In addition, it proposes the remuneration of the </w:t>
      </w:r>
      <w:r>
        <w:rPr>
          <w:color w:val="231F20"/>
          <w:spacing w:val="-3"/>
        </w:rPr>
        <w:t>Chairman, </w:t>
      </w:r>
      <w:r>
        <w:rPr>
          <w:color w:val="231F20"/>
        </w:rPr>
        <w:t>the </w:t>
      </w:r>
      <w:r>
        <w:rPr>
          <w:color w:val="231F20"/>
          <w:spacing w:val="-3"/>
        </w:rPr>
        <w:t>CEO </w:t>
      </w:r>
      <w:r>
        <w:rPr>
          <w:color w:val="231F20"/>
        </w:rPr>
        <w:t>and </w:t>
      </w:r>
      <w:r>
        <w:rPr>
          <w:color w:val="231F20"/>
          <w:spacing w:val="-3"/>
        </w:rPr>
        <w:t>approves </w:t>
      </w:r>
      <w:r>
        <w:rPr>
          <w:color w:val="231F20"/>
        </w:rPr>
        <w:t>the </w:t>
      </w:r>
      <w:r>
        <w:rPr>
          <w:color w:val="231F20"/>
          <w:spacing w:val="-3"/>
        </w:rPr>
        <w:t>individual remunerations </w:t>
      </w:r>
      <w:r>
        <w:rPr>
          <w:color w:val="231F20"/>
        </w:rPr>
        <w:t>of the members of the Executive Board. It reports on its decisions to the Board and keeps the Board updated on the overall remuneration policy of the</w:t>
      </w:r>
      <w:r>
        <w:rPr>
          <w:color w:val="231F20"/>
          <w:spacing w:val="-11"/>
        </w:rPr>
        <w:t> </w:t>
      </w:r>
      <w:r>
        <w:rPr>
          <w:color w:val="231F20"/>
        </w:rPr>
        <w:t>Group.</w:t>
      </w:r>
    </w:p>
    <w:p>
      <w:pPr>
        <w:pStyle w:val="BodyText"/>
        <w:spacing w:before="3"/>
        <w:rPr>
          <w:sz w:val="20"/>
        </w:rPr>
      </w:pPr>
    </w:p>
    <w:p>
      <w:pPr>
        <w:pStyle w:val="BodyText"/>
        <w:spacing w:line="276" w:lineRule="auto"/>
        <w:ind w:left="220" w:right="208"/>
      </w:pPr>
      <w:r>
        <w:rPr>
          <w:color w:val="231F20"/>
        </w:rPr>
        <w:t>The  </w:t>
      </w:r>
      <w:r>
        <w:rPr>
          <w:rFonts w:ascii="Arial"/>
          <w:color w:val="231F20"/>
        </w:rPr>
        <w:t>Nomination  Committee  </w:t>
      </w:r>
      <w:r>
        <w:rPr>
          <w:color w:val="231F20"/>
        </w:rPr>
        <w:t>includes  a  Chairperson,  who is an independent and non-executive member of the Board; the other members are the Chairman of the Board of Directors</w:t>
      </w:r>
      <w:r>
        <w:rPr>
          <w:color w:val="231F20"/>
          <w:spacing w:val="9"/>
        </w:rPr>
        <w:t> </w:t>
      </w:r>
      <w:r>
        <w:rPr>
          <w:color w:val="231F20"/>
        </w:rPr>
        <w:t>and</w:t>
      </w:r>
      <w:r>
        <w:rPr>
          <w:color w:val="231F20"/>
          <w:spacing w:val="9"/>
        </w:rPr>
        <w:t> </w:t>
      </w:r>
      <w:r>
        <w:rPr>
          <w:color w:val="231F20"/>
        </w:rPr>
        <w:t>a</w:t>
      </w:r>
      <w:r>
        <w:rPr>
          <w:color w:val="231F20"/>
          <w:spacing w:val="9"/>
        </w:rPr>
        <w:t> </w:t>
      </w:r>
      <w:r>
        <w:rPr>
          <w:color w:val="231F20"/>
        </w:rPr>
        <w:t>minimum</w:t>
      </w:r>
      <w:r>
        <w:rPr>
          <w:color w:val="231F20"/>
          <w:spacing w:val="9"/>
        </w:rPr>
        <w:t> </w:t>
      </w:r>
      <w:r>
        <w:rPr>
          <w:color w:val="231F20"/>
        </w:rPr>
        <w:t>of</w:t>
      </w:r>
      <w:r>
        <w:rPr>
          <w:color w:val="231F20"/>
          <w:spacing w:val="9"/>
        </w:rPr>
        <w:t> </w:t>
      </w:r>
      <w:r>
        <w:rPr>
          <w:color w:val="231F20"/>
        </w:rPr>
        <w:t>two</w:t>
      </w:r>
      <w:r>
        <w:rPr>
          <w:color w:val="231F20"/>
          <w:spacing w:val="9"/>
        </w:rPr>
        <w:t> </w:t>
      </w:r>
      <w:r>
        <w:rPr>
          <w:color w:val="231F20"/>
        </w:rPr>
        <w:t>independent</w:t>
      </w:r>
      <w:r>
        <w:rPr>
          <w:color w:val="231F20"/>
          <w:spacing w:val="9"/>
        </w:rPr>
        <w:t> </w:t>
      </w:r>
      <w:r>
        <w:rPr>
          <w:color w:val="231F20"/>
        </w:rPr>
        <w:t>and</w:t>
      </w:r>
      <w:r>
        <w:rPr>
          <w:color w:val="231F20"/>
          <w:spacing w:val="9"/>
        </w:rPr>
        <w:t> </w:t>
      </w:r>
      <w:r>
        <w:rPr>
          <w:color w:val="231F20"/>
        </w:rPr>
        <w:t>non-</w:t>
      </w:r>
    </w:p>
    <w:p>
      <w:pPr>
        <w:pStyle w:val="BodyText"/>
        <w:spacing w:line="276" w:lineRule="auto"/>
        <w:ind w:left="220" w:right="135"/>
      </w:pPr>
      <w:r>
        <w:rPr>
          <w:color w:val="231F20"/>
        </w:rPr>
        <w:t>executive members of the Board. The Nomination Committee establishes the principles for the selection of candidates to</w:t>
      </w:r>
    </w:p>
    <w:p>
      <w:pPr>
        <w:spacing w:after="0" w:line="276" w:lineRule="auto"/>
        <w:sectPr>
          <w:type w:val="continuous"/>
          <w:pgSz w:w="11910" w:h="14750"/>
          <w:pgMar w:top="540" w:bottom="280" w:left="460" w:right="460"/>
          <w:cols w:num="2" w:equalWidth="0">
            <w:col w:w="5573" w:space="40"/>
            <w:col w:w="5377"/>
          </w:cols>
        </w:sectPr>
      </w:pPr>
    </w:p>
    <w:p>
      <w:pPr>
        <w:pStyle w:val="BodyText"/>
        <w:rPr>
          <w:sz w:val="20"/>
        </w:rPr>
      </w:pPr>
    </w:p>
    <w:p>
      <w:pPr>
        <w:pStyle w:val="BodyText"/>
        <w:rPr>
          <w:sz w:val="20"/>
        </w:rPr>
      </w:pPr>
    </w:p>
    <w:p>
      <w:pPr>
        <w:pStyle w:val="BodyText"/>
        <w:spacing w:before="11"/>
        <w:rPr>
          <w:sz w:val="15"/>
        </w:rPr>
      </w:pPr>
    </w:p>
    <w:p>
      <w:pPr>
        <w:pStyle w:val="BodyText"/>
        <w:spacing w:line="276" w:lineRule="auto" w:before="106"/>
        <w:ind w:left="106" w:right="5971"/>
      </w:pPr>
      <w:r>
        <w:rPr>
          <w:color w:val="231F20"/>
        </w:rPr>
        <w:t>the Board, selects candidates for election or re-election to the Board and prepares a proposal for the Board’s decision. The candidates to the Board must possess the necessary profiles, qualifications and experience to discharge their duties. Newly appointed Board members receive an appropriate introduction into the business and affairs of</w:t>
      </w:r>
    </w:p>
    <w:p>
      <w:pPr>
        <w:pStyle w:val="BodyText"/>
        <w:spacing w:line="276" w:lineRule="auto"/>
        <w:ind w:left="106" w:right="5971"/>
      </w:pPr>
      <w:r>
        <w:rPr>
          <w:color w:val="231F20"/>
        </w:rPr>
        <w:t>the Company and the Group. If required, the Nomination Committee arranges for further training. It reviews, at least annually, the independence of the members of the Board and it prepares the annual self-evaluation of the Board and its Committees. It oversees the long-term succession planning of the Board.</w:t>
      </w:r>
    </w:p>
    <w:p>
      <w:pPr>
        <w:pStyle w:val="BodyText"/>
        <w:spacing w:before="4"/>
        <w:rPr>
          <w:sz w:val="20"/>
        </w:rPr>
      </w:pPr>
    </w:p>
    <w:p>
      <w:pPr>
        <w:pStyle w:val="BodyText"/>
        <w:spacing w:line="276" w:lineRule="auto"/>
        <w:ind w:left="106" w:right="5878"/>
      </w:pPr>
      <w:r>
        <w:rPr>
          <w:color w:val="231F20"/>
        </w:rPr>
        <w:t>The </w:t>
      </w:r>
      <w:r>
        <w:rPr>
          <w:rFonts w:ascii="Arial" w:hAnsi="Arial"/>
          <w:color w:val="231F20"/>
        </w:rPr>
        <w:t>Audit Committee </w:t>
      </w:r>
      <w:r>
        <w:rPr>
          <w:color w:val="231F20"/>
        </w:rPr>
        <w:t>consists of a  Vice  Chairman,  who chairs the Committee, and a minimum of two other members of the Board, excluding the CEO and any former member of the Executive Board. At least one member has to have recent and relevant financial expertise, the others must be familiar with the issues of accounting and audit. In discharging its responsibilities, it has unrestricted access to the Company’s management, books and records. The Audit Committee supports the Board of Directors in its supervision of financial controls through a direct link to KPMG (external auditors)  and the Nestlé Group Audit (corporate internal auditors).</w:t>
      </w:r>
    </w:p>
    <w:p>
      <w:pPr>
        <w:pStyle w:val="BodyText"/>
        <w:spacing w:line="205" w:lineRule="exact"/>
        <w:ind w:left="106"/>
      </w:pPr>
      <w:r>
        <w:rPr>
          <w:color w:val="231F20"/>
        </w:rPr>
        <w:t>The</w:t>
      </w:r>
      <w:r>
        <w:rPr>
          <w:color w:val="231F20"/>
          <w:spacing w:val="10"/>
        </w:rPr>
        <w:t> </w:t>
      </w:r>
      <w:r>
        <w:rPr>
          <w:color w:val="231F20"/>
        </w:rPr>
        <w:t>Audit</w:t>
      </w:r>
      <w:r>
        <w:rPr>
          <w:color w:val="231F20"/>
          <w:spacing w:val="11"/>
        </w:rPr>
        <w:t> </w:t>
      </w:r>
      <w:r>
        <w:rPr>
          <w:color w:val="231F20"/>
        </w:rPr>
        <w:t>Committee’s</w:t>
      </w:r>
      <w:r>
        <w:rPr>
          <w:color w:val="231F20"/>
          <w:spacing w:val="11"/>
        </w:rPr>
        <w:t> </w:t>
      </w:r>
      <w:r>
        <w:rPr>
          <w:color w:val="231F20"/>
        </w:rPr>
        <w:t>main</w:t>
      </w:r>
      <w:r>
        <w:rPr>
          <w:color w:val="231F20"/>
          <w:spacing w:val="11"/>
        </w:rPr>
        <w:t> </w:t>
      </w:r>
      <w:r>
        <w:rPr>
          <w:color w:val="231F20"/>
        </w:rPr>
        <w:t>duties</w:t>
      </w:r>
      <w:r>
        <w:rPr>
          <w:color w:val="231F20"/>
          <w:spacing w:val="11"/>
        </w:rPr>
        <w:t> </w:t>
      </w:r>
      <w:r>
        <w:rPr>
          <w:color w:val="231F20"/>
        </w:rPr>
        <w:t>include</w:t>
      </w:r>
      <w:r>
        <w:rPr>
          <w:color w:val="231F20"/>
          <w:spacing w:val="11"/>
        </w:rPr>
        <w:t> </w:t>
      </w:r>
      <w:r>
        <w:rPr>
          <w:color w:val="231F20"/>
        </w:rPr>
        <w:t>the</w:t>
      </w:r>
      <w:r>
        <w:rPr>
          <w:color w:val="231F20"/>
          <w:spacing w:val="11"/>
        </w:rPr>
        <w:t> </w:t>
      </w:r>
      <w:r>
        <w:rPr>
          <w:color w:val="231F20"/>
        </w:rPr>
        <w:t>following:</w:t>
      </w:r>
    </w:p>
    <w:p>
      <w:pPr>
        <w:pStyle w:val="ListParagraph"/>
        <w:numPr>
          <w:ilvl w:val="0"/>
          <w:numId w:val="11"/>
        </w:numPr>
        <w:tabs>
          <w:tab w:pos="334" w:val="left" w:leader="none"/>
        </w:tabs>
        <w:spacing w:line="240" w:lineRule="auto" w:before="31" w:after="0"/>
        <w:ind w:left="333" w:right="0" w:hanging="227"/>
        <w:jc w:val="left"/>
        <w:rPr>
          <w:sz w:val="18"/>
        </w:rPr>
      </w:pPr>
      <w:r>
        <w:rPr>
          <w:color w:val="231F20"/>
          <w:sz w:val="18"/>
        </w:rPr>
        <w:t>to</w:t>
      </w:r>
      <w:r>
        <w:rPr>
          <w:color w:val="231F20"/>
          <w:spacing w:val="19"/>
          <w:sz w:val="18"/>
        </w:rPr>
        <w:t> </w:t>
      </w:r>
      <w:r>
        <w:rPr>
          <w:color w:val="231F20"/>
          <w:sz w:val="18"/>
        </w:rPr>
        <w:t>discuss</w:t>
      </w:r>
      <w:r>
        <w:rPr>
          <w:color w:val="231F20"/>
          <w:spacing w:val="20"/>
          <w:sz w:val="18"/>
        </w:rPr>
        <w:t> </w:t>
      </w:r>
      <w:r>
        <w:rPr>
          <w:color w:val="231F20"/>
          <w:sz w:val="18"/>
        </w:rPr>
        <w:t>Nestlé’s</w:t>
      </w:r>
      <w:r>
        <w:rPr>
          <w:color w:val="231F20"/>
          <w:spacing w:val="19"/>
          <w:sz w:val="18"/>
        </w:rPr>
        <w:t> </w:t>
      </w:r>
      <w:r>
        <w:rPr>
          <w:color w:val="231F20"/>
          <w:sz w:val="18"/>
        </w:rPr>
        <w:t>internal</w:t>
      </w:r>
      <w:r>
        <w:rPr>
          <w:color w:val="231F20"/>
          <w:spacing w:val="20"/>
          <w:sz w:val="18"/>
        </w:rPr>
        <w:t> </w:t>
      </w:r>
      <w:r>
        <w:rPr>
          <w:color w:val="231F20"/>
          <w:sz w:val="18"/>
        </w:rPr>
        <w:t>accounting</w:t>
      </w:r>
      <w:r>
        <w:rPr>
          <w:color w:val="231F20"/>
          <w:spacing w:val="20"/>
          <w:sz w:val="18"/>
        </w:rPr>
        <w:t> </w:t>
      </w:r>
      <w:r>
        <w:rPr>
          <w:color w:val="231F20"/>
          <w:sz w:val="18"/>
        </w:rPr>
        <w:t>procedures;</w:t>
      </w:r>
    </w:p>
    <w:p>
      <w:pPr>
        <w:pStyle w:val="ListParagraph"/>
        <w:numPr>
          <w:ilvl w:val="0"/>
          <w:numId w:val="11"/>
        </w:numPr>
        <w:tabs>
          <w:tab w:pos="334" w:val="left" w:leader="none"/>
        </w:tabs>
        <w:spacing w:line="276" w:lineRule="auto" w:before="31" w:after="0"/>
        <w:ind w:left="333" w:right="6326" w:hanging="227"/>
        <w:jc w:val="left"/>
        <w:rPr>
          <w:sz w:val="18"/>
        </w:rPr>
      </w:pPr>
      <w:r>
        <w:rPr>
          <w:color w:val="231F20"/>
          <w:sz w:val="18"/>
        </w:rPr>
        <w:t>to make recommendations to the Board of Directors regarding the nomination of external auditors to be appointed by the</w:t>
      </w:r>
      <w:r>
        <w:rPr>
          <w:color w:val="231F20"/>
          <w:spacing w:val="-20"/>
          <w:sz w:val="18"/>
        </w:rPr>
        <w:t> </w:t>
      </w:r>
      <w:r>
        <w:rPr>
          <w:color w:val="231F20"/>
          <w:sz w:val="18"/>
        </w:rPr>
        <w:t>shareholders;</w:t>
      </w:r>
    </w:p>
    <w:p>
      <w:pPr>
        <w:pStyle w:val="ListParagraph"/>
        <w:numPr>
          <w:ilvl w:val="0"/>
          <w:numId w:val="11"/>
        </w:numPr>
        <w:tabs>
          <w:tab w:pos="334" w:val="left" w:leader="none"/>
        </w:tabs>
        <w:spacing w:line="276" w:lineRule="auto" w:before="0" w:after="0"/>
        <w:ind w:left="333" w:right="6027" w:hanging="227"/>
        <w:jc w:val="left"/>
        <w:rPr>
          <w:sz w:val="18"/>
        </w:rPr>
      </w:pPr>
      <w:r>
        <w:rPr>
          <w:color w:val="231F20"/>
          <w:sz w:val="18"/>
        </w:rPr>
        <w:t>to discuss the audit procedures, including the proposed scope</w:t>
      </w:r>
      <w:r>
        <w:rPr>
          <w:color w:val="231F20"/>
          <w:spacing w:val="-7"/>
          <w:sz w:val="18"/>
        </w:rPr>
        <w:t> </w:t>
      </w:r>
      <w:r>
        <w:rPr>
          <w:color w:val="231F20"/>
          <w:sz w:val="18"/>
        </w:rPr>
        <w:t>and</w:t>
      </w:r>
      <w:r>
        <w:rPr>
          <w:color w:val="231F20"/>
          <w:spacing w:val="-7"/>
          <w:sz w:val="18"/>
        </w:rPr>
        <w:t> </w:t>
      </w:r>
      <w:r>
        <w:rPr>
          <w:color w:val="231F20"/>
          <w:sz w:val="18"/>
        </w:rPr>
        <w:t>the</w:t>
      </w:r>
      <w:r>
        <w:rPr>
          <w:color w:val="231F20"/>
          <w:spacing w:val="-7"/>
          <w:sz w:val="18"/>
        </w:rPr>
        <w:t> </w:t>
      </w:r>
      <w:r>
        <w:rPr>
          <w:color w:val="231F20"/>
          <w:sz w:val="18"/>
        </w:rPr>
        <w:t>results</w:t>
      </w:r>
      <w:r>
        <w:rPr>
          <w:color w:val="231F20"/>
          <w:spacing w:val="-6"/>
          <w:sz w:val="18"/>
        </w:rPr>
        <w:t> </w:t>
      </w:r>
      <w:r>
        <w:rPr>
          <w:color w:val="231F20"/>
          <w:sz w:val="18"/>
        </w:rPr>
        <w:t>of</w:t>
      </w:r>
      <w:r>
        <w:rPr>
          <w:color w:val="231F20"/>
          <w:spacing w:val="-7"/>
          <w:sz w:val="18"/>
        </w:rPr>
        <w:t> </w:t>
      </w:r>
      <w:r>
        <w:rPr>
          <w:color w:val="231F20"/>
          <w:sz w:val="18"/>
        </w:rPr>
        <w:t>the</w:t>
      </w:r>
      <w:r>
        <w:rPr>
          <w:color w:val="231F20"/>
          <w:spacing w:val="-7"/>
          <w:sz w:val="18"/>
        </w:rPr>
        <w:t> </w:t>
      </w:r>
      <w:r>
        <w:rPr>
          <w:color w:val="231F20"/>
          <w:sz w:val="18"/>
        </w:rPr>
        <w:t>audit;</w:t>
      </w:r>
    </w:p>
    <w:p>
      <w:pPr>
        <w:pStyle w:val="ListParagraph"/>
        <w:numPr>
          <w:ilvl w:val="0"/>
          <w:numId w:val="11"/>
        </w:numPr>
        <w:tabs>
          <w:tab w:pos="334" w:val="left" w:leader="none"/>
        </w:tabs>
        <w:spacing w:line="276" w:lineRule="auto" w:before="0" w:after="0"/>
        <w:ind w:left="333" w:right="6181" w:hanging="227"/>
        <w:jc w:val="left"/>
        <w:rPr>
          <w:sz w:val="18"/>
        </w:rPr>
      </w:pPr>
      <w:r>
        <w:rPr>
          <w:color w:val="231F20"/>
          <w:sz w:val="18"/>
        </w:rPr>
        <w:t>to keep itself regularly informed on important findings of</w:t>
      </w:r>
      <w:r>
        <w:rPr>
          <w:color w:val="231F20"/>
          <w:spacing w:val="-7"/>
          <w:sz w:val="18"/>
        </w:rPr>
        <w:t> </w:t>
      </w:r>
      <w:r>
        <w:rPr>
          <w:color w:val="231F20"/>
          <w:sz w:val="18"/>
        </w:rPr>
        <w:t>the</w:t>
      </w:r>
      <w:r>
        <w:rPr>
          <w:color w:val="231F20"/>
          <w:spacing w:val="-7"/>
          <w:sz w:val="18"/>
        </w:rPr>
        <w:t> </w:t>
      </w:r>
      <w:r>
        <w:rPr>
          <w:color w:val="231F20"/>
          <w:sz w:val="18"/>
        </w:rPr>
        <w:t>audits</w:t>
      </w:r>
      <w:r>
        <w:rPr>
          <w:color w:val="231F20"/>
          <w:spacing w:val="-7"/>
          <w:sz w:val="18"/>
        </w:rPr>
        <w:t> </w:t>
      </w:r>
      <w:r>
        <w:rPr>
          <w:color w:val="231F20"/>
          <w:sz w:val="18"/>
        </w:rPr>
        <w:t>and</w:t>
      </w:r>
      <w:r>
        <w:rPr>
          <w:color w:val="231F20"/>
          <w:spacing w:val="-6"/>
          <w:sz w:val="18"/>
        </w:rPr>
        <w:t> </w:t>
      </w:r>
      <w:r>
        <w:rPr>
          <w:color w:val="231F20"/>
          <w:sz w:val="18"/>
        </w:rPr>
        <w:t>of</w:t>
      </w:r>
      <w:r>
        <w:rPr>
          <w:color w:val="231F20"/>
          <w:spacing w:val="-7"/>
          <w:sz w:val="18"/>
        </w:rPr>
        <w:t> </w:t>
      </w:r>
      <w:r>
        <w:rPr>
          <w:color w:val="231F20"/>
          <w:sz w:val="18"/>
        </w:rPr>
        <w:t>their</w:t>
      </w:r>
      <w:r>
        <w:rPr>
          <w:color w:val="231F20"/>
          <w:spacing w:val="-7"/>
          <w:sz w:val="18"/>
        </w:rPr>
        <w:t> </w:t>
      </w:r>
      <w:r>
        <w:rPr>
          <w:color w:val="231F20"/>
          <w:sz w:val="18"/>
        </w:rPr>
        <w:t>progress;</w:t>
      </w:r>
    </w:p>
    <w:p>
      <w:pPr>
        <w:pStyle w:val="ListParagraph"/>
        <w:numPr>
          <w:ilvl w:val="0"/>
          <w:numId w:val="11"/>
        </w:numPr>
        <w:tabs>
          <w:tab w:pos="334" w:val="left" w:leader="none"/>
        </w:tabs>
        <w:spacing w:line="208" w:lineRule="exact" w:before="0" w:after="0"/>
        <w:ind w:left="333" w:right="0" w:hanging="227"/>
        <w:jc w:val="left"/>
        <w:rPr>
          <w:sz w:val="18"/>
        </w:rPr>
      </w:pPr>
      <w:r>
        <w:rPr>
          <w:color w:val="231F20"/>
          <w:sz w:val="18"/>
        </w:rPr>
        <w:t>to</w:t>
      </w:r>
      <w:r>
        <w:rPr>
          <w:color w:val="231F20"/>
          <w:spacing w:val="-8"/>
          <w:sz w:val="18"/>
        </w:rPr>
        <w:t> </w:t>
      </w:r>
      <w:r>
        <w:rPr>
          <w:color w:val="231F20"/>
          <w:sz w:val="18"/>
        </w:rPr>
        <w:t>oversee</w:t>
      </w:r>
      <w:r>
        <w:rPr>
          <w:color w:val="231F20"/>
          <w:spacing w:val="-8"/>
          <w:sz w:val="18"/>
        </w:rPr>
        <w:t> </w:t>
      </w:r>
      <w:r>
        <w:rPr>
          <w:color w:val="231F20"/>
          <w:sz w:val="18"/>
        </w:rPr>
        <w:t>the</w:t>
      </w:r>
      <w:r>
        <w:rPr>
          <w:color w:val="231F20"/>
          <w:spacing w:val="-8"/>
          <w:sz w:val="18"/>
        </w:rPr>
        <w:t> </w:t>
      </w:r>
      <w:r>
        <w:rPr>
          <w:color w:val="231F20"/>
          <w:sz w:val="18"/>
        </w:rPr>
        <w:t>quality</w:t>
      </w:r>
      <w:r>
        <w:rPr>
          <w:color w:val="231F20"/>
          <w:spacing w:val="-8"/>
          <w:sz w:val="18"/>
        </w:rPr>
        <w:t> </w:t>
      </w:r>
      <w:r>
        <w:rPr>
          <w:color w:val="231F20"/>
          <w:sz w:val="18"/>
        </w:rPr>
        <w:t>of</w:t>
      </w:r>
      <w:r>
        <w:rPr>
          <w:color w:val="231F20"/>
          <w:spacing w:val="-8"/>
          <w:sz w:val="18"/>
        </w:rPr>
        <w:t> </w:t>
      </w:r>
      <w:r>
        <w:rPr>
          <w:color w:val="231F20"/>
          <w:sz w:val="18"/>
        </w:rPr>
        <w:t>the</w:t>
      </w:r>
      <w:r>
        <w:rPr>
          <w:color w:val="231F20"/>
          <w:spacing w:val="-8"/>
          <w:sz w:val="18"/>
        </w:rPr>
        <w:t> </w:t>
      </w:r>
      <w:r>
        <w:rPr>
          <w:color w:val="231F20"/>
          <w:sz w:val="18"/>
        </w:rPr>
        <w:t>internal</w:t>
      </w:r>
      <w:r>
        <w:rPr>
          <w:color w:val="231F20"/>
          <w:spacing w:val="-8"/>
          <w:sz w:val="18"/>
        </w:rPr>
        <w:t> </w:t>
      </w:r>
      <w:r>
        <w:rPr>
          <w:color w:val="231F20"/>
          <w:sz w:val="18"/>
        </w:rPr>
        <w:t>and</w:t>
      </w:r>
      <w:r>
        <w:rPr>
          <w:color w:val="231F20"/>
          <w:spacing w:val="-8"/>
          <w:sz w:val="18"/>
        </w:rPr>
        <w:t> </w:t>
      </w:r>
      <w:r>
        <w:rPr>
          <w:color w:val="231F20"/>
          <w:sz w:val="18"/>
        </w:rPr>
        <w:t>external</w:t>
      </w:r>
      <w:r>
        <w:rPr>
          <w:color w:val="231F20"/>
          <w:spacing w:val="-8"/>
          <w:sz w:val="18"/>
        </w:rPr>
        <w:t> </w:t>
      </w:r>
      <w:r>
        <w:rPr>
          <w:color w:val="231F20"/>
          <w:sz w:val="18"/>
        </w:rPr>
        <w:t>auditing;</w:t>
      </w:r>
    </w:p>
    <w:p>
      <w:pPr>
        <w:pStyle w:val="ListParagraph"/>
        <w:numPr>
          <w:ilvl w:val="0"/>
          <w:numId w:val="11"/>
        </w:numPr>
        <w:tabs>
          <w:tab w:pos="334" w:val="left" w:leader="none"/>
        </w:tabs>
        <w:spacing w:line="276" w:lineRule="auto" w:before="29" w:after="0"/>
        <w:ind w:left="333" w:right="6596" w:hanging="227"/>
        <w:jc w:val="left"/>
        <w:rPr>
          <w:sz w:val="18"/>
        </w:rPr>
      </w:pPr>
      <w:r>
        <w:rPr>
          <w:color w:val="231F20"/>
          <w:sz w:val="18"/>
        </w:rPr>
        <w:t>to present the conclusions on the approval of the Financial Statements to the Board of</w:t>
      </w:r>
      <w:r>
        <w:rPr>
          <w:color w:val="231F20"/>
          <w:spacing w:val="5"/>
          <w:sz w:val="18"/>
        </w:rPr>
        <w:t> </w:t>
      </w:r>
      <w:r>
        <w:rPr>
          <w:color w:val="231F20"/>
          <w:sz w:val="18"/>
        </w:rPr>
        <w:t>Directors;</w:t>
      </w:r>
    </w:p>
    <w:p>
      <w:pPr>
        <w:pStyle w:val="ListParagraph"/>
        <w:numPr>
          <w:ilvl w:val="0"/>
          <w:numId w:val="11"/>
        </w:numPr>
        <w:tabs>
          <w:tab w:pos="334" w:val="left" w:leader="none"/>
        </w:tabs>
        <w:spacing w:line="276" w:lineRule="auto" w:before="0" w:after="0"/>
        <w:ind w:left="333" w:right="6015" w:hanging="227"/>
        <w:jc w:val="left"/>
        <w:rPr>
          <w:sz w:val="18"/>
        </w:rPr>
      </w:pPr>
      <w:r>
        <w:rPr>
          <w:color w:val="231F20"/>
          <w:w w:val="105"/>
          <w:sz w:val="18"/>
        </w:rPr>
        <w:t>to</w:t>
      </w:r>
      <w:r>
        <w:rPr>
          <w:color w:val="231F20"/>
          <w:spacing w:val="-27"/>
          <w:w w:val="105"/>
          <w:sz w:val="18"/>
        </w:rPr>
        <w:t> </w:t>
      </w:r>
      <w:r>
        <w:rPr>
          <w:color w:val="231F20"/>
          <w:w w:val="105"/>
          <w:sz w:val="18"/>
        </w:rPr>
        <w:t>review</w:t>
      </w:r>
      <w:r>
        <w:rPr>
          <w:color w:val="231F20"/>
          <w:spacing w:val="-27"/>
          <w:w w:val="105"/>
          <w:sz w:val="18"/>
        </w:rPr>
        <w:t> </w:t>
      </w:r>
      <w:r>
        <w:rPr>
          <w:color w:val="231F20"/>
          <w:w w:val="105"/>
          <w:sz w:val="18"/>
        </w:rPr>
        <w:t>certain</w:t>
      </w:r>
      <w:r>
        <w:rPr>
          <w:color w:val="231F20"/>
          <w:spacing w:val="-26"/>
          <w:w w:val="105"/>
          <w:sz w:val="18"/>
        </w:rPr>
        <w:t> </w:t>
      </w:r>
      <w:r>
        <w:rPr>
          <w:color w:val="231F20"/>
          <w:w w:val="105"/>
          <w:sz w:val="18"/>
        </w:rPr>
        <w:t>reports</w:t>
      </w:r>
      <w:r>
        <w:rPr>
          <w:color w:val="231F20"/>
          <w:spacing w:val="-27"/>
          <w:w w:val="105"/>
          <w:sz w:val="18"/>
        </w:rPr>
        <w:t> </w:t>
      </w:r>
      <w:r>
        <w:rPr>
          <w:color w:val="231F20"/>
          <w:w w:val="105"/>
          <w:sz w:val="18"/>
        </w:rPr>
        <w:t>regarding</w:t>
      </w:r>
      <w:r>
        <w:rPr>
          <w:color w:val="231F20"/>
          <w:spacing w:val="-26"/>
          <w:w w:val="105"/>
          <w:sz w:val="18"/>
        </w:rPr>
        <w:t> </w:t>
      </w:r>
      <w:r>
        <w:rPr>
          <w:color w:val="231F20"/>
          <w:w w:val="105"/>
          <w:sz w:val="18"/>
        </w:rPr>
        <w:t>internal</w:t>
      </w:r>
      <w:r>
        <w:rPr>
          <w:color w:val="231F20"/>
          <w:spacing w:val="-27"/>
          <w:w w:val="105"/>
          <w:sz w:val="18"/>
        </w:rPr>
        <w:t> </w:t>
      </w:r>
      <w:r>
        <w:rPr>
          <w:color w:val="231F20"/>
          <w:w w:val="105"/>
          <w:sz w:val="18"/>
        </w:rPr>
        <w:t>controls</w:t>
      </w:r>
      <w:r>
        <w:rPr>
          <w:color w:val="231F20"/>
          <w:spacing w:val="-26"/>
          <w:w w:val="105"/>
          <w:sz w:val="18"/>
        </w:rPr>
        <w:t> </w:t>
      </w:r>
      <w:r>
        <w:rPr>
          <w:color w:val="231F20"/>
          <w:w w:val="105"/>
          <w:sz w:val="18"/>
        </w:rPr>
        <w:t>and the</w:t>
      </w:r>
      <w:r>
        <w:rPr>
          <w:color w:val="231F20"/>
          <w:spacing w:val="-12"/>
          <w:w w:val="105"/>
          <w:sz w:val="18"/>
        </w:rPr>
        <w:t> </w:t>
      </w:r>
      <w:r>
        <w:rPr>
          <w:color w:val="231F20"/>
          <w:w w:val="105"/>
          <w:sz w:val="18"/>
        </w:rPr>
        <w:t>Group’s</w:t>
      </w:r>
      <w:r>
        <w:rPr>
          <w:color w:val="231F20"/>
          <w:spacing w:val="-12"/>
          <w:w w:val="105"/>
          <w:sz w:val="18"/>
        </w:rPr>
        <w:t> </w:t>
      </w:r>
      <w:r>
        <w:rPr>
          <w:color w:val="231F20"/>
          <w:w w:val="105"/>
          <w:sz w:val="18"/>
        </w:rPr>
        <w:t>annual</w:t>
      </w:r>
      <w:r>
        <w:rPr>
          <w:color w:val="231F20"/>
          <w:spacing w:val="-11"/>
          <w:w w:val="105"/>
          <w:sz w:val="18"/>
        </w:rPr>
        <w:t> </w:t>
      </w:r>
      <w:r>
        <w:rPr>
          <w:color w:val="231F20"/>
          <w:w w:val="105"/>
          <w:sz w:val="18"/>
        </w:rPr>
        <w:t>risk</w:t>
      </w:r>
      <w:r>
        <w:rPr>
          <w:color w:val="231F20"/>
          <w:spacing w:val="-12"/>
          <w:w w:val="105"/>
          <w:sz w:val="18"/>
        </w:rPr>
        <w:t> </w:t>
      </w:r>
      <w:r>
        <w:rPr>
          <w:color w:val="231F20"/>
          <w:w w:val="105"/>
          <w:sz w:val="18"/>
        </w:rPr>
        <w:t>assessment.</w:t>
      </w:r>
    </w:p>
    <w:p>
      <w:pPr>
        <w:pStyle w:val="BodyText"/>
        <w:spacing w:line="276" w:lineRule="auto"/>
        <w:ind w:left="106" w:right="5801"/>
      </w:pPr>
      <w:r>
        <w:rPr>
          <w:color w:val="231F20"/>
        </w:rPr>
        <w:t>The Audit Committee regularly reports to the Board on its findings and proposes appropriate actions. The responsibility for approving the annual Financial Statements remains with the Board of Directors.</w:t>
      </w:r>
    </w:p>
    <w:p>
      <w:pPr>
        <w:spacing w:after="0" w:line="276" w:lineRule="auto"/>
        <w:sectPr>
          <w:pgSz w:w="11910" w:h="14750"/>
          <w:pgMar w:header="642" w:footer="509" w:top="840" w:bottom="700" w:left="460" w:right="460"/>
        </w:sectPr>
      </w:pPr>
    </w:p>
    <w:p>
      <w:pPr>
        <w:pStyle w:val="BodyText"/>
        <w:rPr>
          <w:sz w:val="20"/>
        </w:rPr>
      </w:pPr>
    </w:p>
    <w:p>
      <w:pPr>
        <w:pStyle w:val="BodyText"/>
        <w:rPr>
          <w:sz w:val="20"/>
        </w:rPr>
      </w:pPr>
    </w:p>
    <w:p>
      <w:pPr>
        <w:pStyle w:val="BodyText"/>
        <w:rPr>
          <w:sz w:val="20"/>
        </w:rPr>
      </w:pPr>
    </w:p>
    <w:p>
      <w:pPr>
        <w:pStyle w:val="BodyText"/>
        <w:rPr>
          <w:sz w:val="24"/>
        </w:rPr>
      </w:pPr>
    </w:p>
    <w:p>
      <w:pPr>
        <w:pStyle w:val="BodyText"/>
        <w:spacing w:line="20" w:lineRule="exact"/>
        <w:ind w:left="557"/>
        <w:rPr>
          <w:sz w:val="2"/>
        </w:rPr>
      </w:pPr>
      <w:r>
        <w:rPr>
          <w:sz w:val="2"/>
        </w:rPr>
        <w:pict>
          <v:group style="width:515.9500pt;height:.25pt;mso-position-horizontal-relative:char;mso-position-vertical-relative:line" coordorigin="0,0" coordsize="10319,5">
            <v:line style="position:absolute" from="0,3" to="10318,3" stroked="true" strokeweight=".25pt" strokecolor="#231f20">
              <v:stroke dashstyle="solid"/>
            </v:line>
          </v:group>
        </w:pict>
      </w:r>
      <w:r>
        <w:rPr>
          <w:sz w:val="2"/>
        </w:rPr>
      </w:r>
    </w:p>
    <w:p>
      <w:pPr>
        <w:pStyle w:val="BodyText"/>
        <w:rPr>
          <w:sz w:val="23"/>
        </w:rPr>
      </w:pPr>
    </w:p>
    <w:tbl>
      <w:tblPr>
        <w:tblW w:w="0" w:type="auto"/>
        <w:jc w:val="left"/>
        <w:tblInd w:w="5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360"/>
        <w:gridCol w:w="2594"/>
        <w:gridCol w:w="3366"/>
      </w:tblGrid>
      <w:tr>
        <w:trPr>
          <w:trHeight w:val="192" w:hRule="atLeast"/>
        </w:trPr>
        <w:tc>
          <w:tcPr>
            <w:tcW w:w="4360" w:type="dxa"/>
            <w:tcBorders>
              <w:bottom w:val="single" w:sz="2" w:space="0" w:color="231F20"/>
            </w:tcBorders>
          </w:tcPr>
          <w:p>
            <w:pPr>
              <w:pStyle w:val="TableParagraph"/>
              <w:spacing w:before="1"/>
              <w:rPr>
                <w:sz w:val="15"/>
              </w:rPr>
            </w:pPr>
            <w:r>
              <w:rPr>
                <w:color w:val="231F20"/>
                <w:sz w:val="15"/>
              </w:rPr>
              <w:t>Meetings held in 2013</w:t>
            </w:r>
          </w:p>
        </w:tc>
        <w:tc>
          <w:tcPr>
            <w:tcW w:w="2594" w:type="dxa"/>
            <w:tcBorders>
              <w:bottom w:val="single" w:sz="2" w:space="0" w:color="231F20"/>
            </w:tcBorders>
          </w:tcPr>
          <w:p>
            <w:pPr>
              <w:pStyle w:val="TableParagraph"/>
              <w:spacing w:before="1"/>
              <w:ind w:left="912"/>
              <w:rPr>
                <w:sz w:val="15"/>
              </w:rPr>
            </w:pPr>
            <w:r>
              <w:rPr>
                <w:color w:val="231F20"/>
                <w:sz w:val="15"/>
              </w:rPr>
              <w:t>Frequency</w:t>
            </w:r>
          </w:p>
        </w:tc>
        <w:tc>
          <w:tcPr>
            <w:tcW w:w="3366" w:type="dxa"/>
            <w:tcBorders>
              <w:bottom w:val="single" w:sz="2" w:space="0" w:color="231F20"/>
            </w:tcBorders>
          </w:tcPr>
          <w:p>
            <w:pPr>
              <w:pStyle w:val="TableParagraph"/>
              <w:spacing w:before="1"/>
              <w:ind w:left="954"/>
              <w:rPr>
                <w:sz w:val="15"/>
              </w:rPr>
            </w:pPr>
            <w:r>
              <w:rPr>
                <w:color w:val="231F20"/>
                <w:sz w:val="15"/>
              </w:rPr>
              <w:t>Average duration (hours)</w:t>
            </w:r>
          </w:p>
        </w:tc>
      </w:tr>
      <w:tr>
        <w:trPr>
          <w:trHeight w:val="235" w:hRule="atLeast"/>
        </w:trPr>
        <w:tc>
          <w:tcPr>
            <w:tcW w:w="4360" w:type="dxa"/>
            <w:tcBorders>
              <w:top w:val="single" w:sz="2" w:space="0" w:color="231F20"/>
              <w:bottom w:val="single" w:sz="2" w:space="0" w:color="8F999F"/>
            </w:tcBorders>
          </w:tcPr>
          <w:p>
            <w:pPr>
              <w:pStyle w:val="TableParagraph"/>
              <w:rPr>
                <w:sz w:val="15"/>
              </w:rPr>
            </w:pPr>
            <w:r>
              <w:rPr>
                <w:color w:val="231F20"/>
                <w:sz w:val="15"/>
              </w:rPr>
              <w:t>Board of Directors of Nestlé S.A.</w:t>
            </w:r>
          </w:p>
        </w:tc>
        <w:tc>
          <w:tcPr>
            <w:tcW w:w="2594" w:type="dxa"/>
            <w:tcBorders>
              <w:top w:val="single" w:sz="2" w:space="0" w:color="231F20"/>
              <w:bottom w:val="single" w:sz="2" w:space="0" w:color="8F999F"/>
            </w:tcBorders>
          </w:tcPr>
          <w:p>
            <w:pPr>
              <w:pStyle w:val="TableParagraph"/>
              <w:ind w:left="912"/>
              <w:rPr>
                <w:sz w:val="15"/>
              </w:rPr>
            </w:pPr>
            <w:r>
              <w:rPr>
                <w:color w:val="231F20"/>
                <w:sz w:val="15"/>
              </w:rPr>
              <w:t>8 times</w:t>
            </w:r>
          </w:p>
        </w:tc>
        <w:tc>
          <w:tcPr>
            <w:tcW w:w="3366" w:type="dxa"/>
            <w:tcBorders>
              <w:top w:val="single" w:sz="2" w:space="0" w:color="231F20"/>
              <w:bottom w:val="single" w:sz="2" w:space="0" w:color="8F999F"/>
            </w:tcBorders>
          </w:tcPr>
          <w:p>
            <w:pPr>
              <w:pStyle w:val="TableParagraph"/>
              <w:ind w:left="954"/>
              <w:rPr>
                <w:sz w:val="15"/>
              </w:rPr>
            </w:pPr>
            <w:r>
              <w:rPr>
                <w:color w:val="231F20"/>
                <w:sz w:val="15"/>
              </w:rPr>
              <w:t>3:40</w:t>
            </w:r>
          </w:p>
        </w:tc>
      </w:tr>
      <w:tr>
        <w:trPr>
          <w:trHeight w:val="235" w:hRule="atLeast"/>
        </w:trPr>
        <w:tc>
          <w:tcPr>
            <w:tcW w:w="4360" w:type="dxa"/>
            <w:tcBorders>
              <w:top w:val="single" w:sz="2" w:space="0" w:color="8F999F"/>
              <w:bottom w:val="single" w:sz="2" w:space="0" w:color="8F999F"/>
            </w:tcBorders>
          </w:tcPr>
          <w:p>
            <w:pPr>
              <w:pStyle w:val="TableParagraph"/>
              <w:rPr>
                <w:sz w:val="15"/>
              </w:rPr>
            </w:pPr>
            <w:r>
              <w:rPr>
                <w:color w:val="231F20"/>
                <w:sz w:val="15"/>
              </w:rPr>
              <w:t>Chairman’s and Corporate Governance Committee</w:t>
            </w:r>
          </w:p>
        </w:tc>
        <w:tc>
          <w:tcPr>
            <w:tcW w:w="2594" w:type="dxa"/>
            <w:tcBorders>
              <w:top w:val="single" w:sz="2" w:space="0" w:color="8F999F"/>
              <w:bottom w:val="single" w:sz="2" w:space="0" w:color="8F999F"/>
            </w:tcBorders>
          </w:tcPr>
          <w:p>
            <w:pPr>
              <w:pStyle w:val="TableParagraph"/>
              <w:ind w:left="912"/>
              <w:rPr>
                <w:sz w:val="15"/>
              </w:rPr>
            </w:pPr>
            <w:r>
              <w:rPr>
                <w:color w:val="231F20"/>
                <w:sz w:val="15"/>
              </w:rPr>
              <w:t>9 times</w:t>
            </w:r>
          </w:p>
        </w:tc>
        <w:tc>
          <w:tcPr>
            <w:tcW w:w="3366" w:type="dxa"/>
            <w:tcBorders>
              <w:top w:val="single" w:sz="2" w:space="0" w:color="8F999F"/>
              <w:bottom w:val="single" w:sz="2" w:space="0" w:color="8F999F"/>
            </w:tcBorders>
          </w:tcPr>
          <w:p>
            <w:pPr>
              <w:pStyle w:val="TableParagraph"/>
              <w:ind w:left="954"/>
              <w:rPr>
                <w:sz w:val="15"/>
              </w:rPr>
            </w:pPr>
            <w:r>
              <w:rPr>
                <w:color w:val="231F20"/>
                <w:sz w:val="15"/>
              </w:rPr>
              <w:t>4:50</w:t>
            </w:r>
          </w:p>
        </w:tc>
      </w:tr>
      <w:tr>
        <w:trPr>
          <w:trHeight w:val="235" w:hRule="atLeast"/>
        </w:trPr>
        <w:tc>
          <w:tcPr>
            <w:tcW w:w="4360" w:type="dxa"/>
            <w:tcBorders>
              <w:top w:val="single" w:sz="2" w:space="0" w:color="8F999F"/>
              <w:bottom w:val="single" w:sz="2" w:space="0" w:color="8F999F"/>
            </w:tcBorders>
          </w:tcPr>
          <w:p>
            <w:pPr>
              <w:pStyle w:val="TableParagraph"/>
              <w:rPr>
                <w:sz w:val="15"/>
              </w:rPr>
            </w:pPr>
            <w:r>
              <w:rPr>
                <w:color w:val="231F20"/>
                <w:sz w:val="15"/>
              </w:rPr>
              <w:t>Compensation Committee</w:t>
            </w:r>
          </w:p>
        </w:tc>
        <w:tc>
          <w:tcPr>
            <w:tcW w:w="2594" w:type="dxa"/>
            <w:tcBorders>
              <w:top w:val="single" w:sz="2" w:space="0" w:color="8F999F"/>
              <w:bottom w:val="single" w:sz="2" w:space="0" w:color="8F999F"/>
            </w:tcBorders>
          </w:tcPr>
          <w:p>
            <w:pPr>
              <w:pStyle w:val="TableParagraph"/>
              <w:ind w:left="912"/>
              <w:rPr>
                <w:sz w:val="15"/>
              </w:rPr>
            </w:pPr>
            <w:r>
              <w:rPr>
                <w:color w:val="231F20"/>
                <w:sz w:val="15"/>
              </w:rPr>
              <w:t>3 times</w:t>
            </w:r>
          </w:p>
        </w:tc>
        <w:tc>
          <w:tcPr>
            <w:tcW w:w="3366" w:type="dxa"/>
            <w:tcBorders>
              <w:top w:val="single" w:sz="2" w:space="0" w:color="8F999F"/>
              <w:bottom w:val="single" w:sz="2" w:space="0" w:color="8F999F"/>
            </w:tcBorders>
          </w:tcPr>
          <w:p>
            <w:pPr>
              <w:pStyle w:val="TableParagraph"/>
              <w:ind w:left="954"/>
              <w:rPr>
                <w:sz w:val="15"/>
              </w:rPr>
            </w:pPr>
            <w:r>
              <w:rPr>
                <w:color w:val="231F20"/>
                <w:sz w:val="15"/>
              </w:rPr>
              <w:t>1:20</w:t>
            </w:r>
          </w:p>
        </w:tc>
      </w:tr>
      <w:tr>
        <w:trPr>
          <w:trHeight w:val="235" w:hRule="atLeast"/>
        </w:trPr>
        <w:tc>
          <w:tcPr>
            <w:tcW w:w="4360" w:type="dxa"/>
            <w:tcBorders>
              <w:top w:val="single" w:sz="2" w:space="0" w:color="8F999F"/>
              <w:bottom w:val="single" w:sz="2" w:space="0" w:color="8F999F"/>
            </w:tcBorders>
          </w:tcPr>
          <w:p>
            <w:pPr>
              <w:pStyle w:val="TableParagraph"/>
              <w:rPr>
                <w:sz w:val="15"/>
              </w:rPr>
            </w:pPr>
            <w:r>
              <w:rPr>
                <w:color w:val="231F20"/>
                <w:sz w:val="15"/>
              </w:rPr>
              <w:t>Nomination Committee</w:t>
            </w:r>
          </w:p>
        </w:tc>
        <w:tc>
          <w:tcPr>
            <w:tcW w:w="2594" w:type="dxa"/>
            <w:tcBorders>
              <w:top w:val="single" w:sz="2" w:space="0" w:color="8F999F"/>
              <w:bottom w:val="single" w:sz="2" w:space="0" w:color="8F999F"/>
            </w:tcBorders>
          </w:tcPr>
          <w:p>
            <w:pPr>
              <w:pStyle w:val="TableParagraph"/>
              <w:ind w:left="912"/>
              <w:rPr>
                <w:sz w:val="15"/>
              </w:rPr>
            </w:pPr>
            <w:r>
              <w:rPr>
                <w:color w:val="231F20"/>
                <w:w w:val="105"/>
                <w:sz w:val="15"/>
              </w:rPr>
              <w:t>3 times</w:t>
            </w:r>
          </w:p>
        </w:tc>
        <w:tc>
          <w:tcPr>
            <w:tcW w:w="3366" w:type="dxa"/>
            <w:tcBorders>
              <w:top w:val="single" w:sz="2" w:space="0" w:color="8F999F"/>
              <w:bottom w:val="single" w:sz="2" w:space="0" w:color="8F999F"/>
            </w:tcBorders>
          </w:tcPr>
          <w:p>
            <w:pPr>
              <w:pStyle w:val="TableParagraph"/>
              <w:ind w:left="954"/>
              <w:rPr>
                <w:sz w:val="15"/>
              </w:rPr>
            </w:pPr>
            <w:r>
              <w:rPr>
                <w:color w:val="231F20"/>
                <w:sz w:val="15"/>
              </w:rPr>
              <w:t>0:50</w:t>
            </w:r>
          </w:p>
        </w:tc>
      </w:tr>
      <w:tr>
        <w:trPr>
          <w:trHeight w:val="235" w:hRule="atLeast"/>
        </w:trPr>
        <w:tc>
          <w:tcPr>
            <w:tcW w:w="4360" w:type="dxa"/>
            <w:tcBorders>
              <w:top w:val="single" w:sz="2" w:space="0" w:color="8F999F"/>
              <w:bottom w:val="single" w:sz="2" w:space="0" w:color="8F999F"/>
            </w:tcBorders>
          </w:tcPr>
          <w:p>
            <w:pPr>
              <w:pStyle w:val="TableParagraph"/>
              <w:rPr>
                <w:sz w:val="15"/>
              </w:rPr>
            </w:pPr>
            <w:r>
              <w:rPr>
                <w:color w:val="231F20"/>
                <w:sz w:val="15"/>
              </w:rPr>
              <w:t>Audit Committee</w:t>
            </w:r>
          </w:p>
        </w:tc>
        <w:tc>
          <w:tcPr>
            <w:tcW w:w="2594" w:type="dxa"/>
            <w:tcBorders>
              <w:top w:val="single" w:sz="2" w:space="0" w:color="8F999F"/>
              <w:bottom w:val="single" w:sz="2" w:space="0" w:color="8F999F"/>
            </w:tcBorders>
          </w:tcPr>
          <w:p>
            <w:pPr>
              <w:pStyle w:val="TableParagraph"/>
              <w:ind w:left="912"/>
              <w:rPr>
                <w:sz w:val="15"/>
              </w:rPr>
            </w:pPr>
            <w:r>
              <w:rPr>
                <w:color w:val="231F20"/>
                <w:sz w:val="15"/>
              </w:rPr>
              <w:t>4 times</w:t>
            </w:r>
          </w:p>
        </w:tc>
        <w:tc>
          <w:tcPr>
            <w:tcW w:w="3366" w:type="dxa"/>
            <w:tcBorders>
              <w:top w:val="single" w:sz="2" w:space="0" w:color="8F999F"/>
              <w:bottom w:val="single" w:sz="2" w:space="0" w:color="8F999F"/>
            </w:tcBorders>
          </w:tcPr>
          <w:p>
            <w:pPr>
              <w:pStyle w:val="TableParagraph"/>
              <w:ind w:left="954"/>
              <w:rPr>
                <w:sz w:val="15"/>
              </w:rPr>
            </w:pPr>
            <w:r>
              <w:rPr>
                <w:color w:val="231F20"/>
                <w:sz w:val="15"/>
              </w:rPr>
              <w:t>2:20</w:t>
            </w:r>
          </w:p>
        </w:tc>
      </w:tr>
    </w:tbl>
    <w:p>
      <w:pPr>
        <w:pStyle w:val="BodyText"/>
        <w:rPr>
          <w:sz w:val="20"/>
        </w:rPr>
      </w:pPr>
    </w:p>
    <w:p>
      <w:pPr>
        <w:spacing w:after="0"/>
        <w:rPr>
          <w:sz w:val="20"/>
        </w:rPr>
        <w:sectPr>
          <w:pgSz w:w="11910" w:h="14750"/>
          <w:pgMar w:header="642" w:footer="896" w:top="840" w:bottom="1080" w:left="460" w:right="460"/>
        </w:sectPr>
      </w:pPr>
    </w:p>
    <w:p>
      <w:pPr>
        <w:pStyle w:val="BodyText"/>
        <w:spacing w:before="4"/>
        <w:rPr>
          <w:sz w:val="22"/>
        </w:rPr>
      </w:pPr>
    </w:p>
    <w:p>
      <w:pPr>
        <w:pStyle w:val="ListParagraph"/>
        <w:numPr>
          <w:ilvl w:val="2"/>
          <w:numId w:val="6"/>
        </w:numPr>
        <w:tabs>
          <w:tab w:pos="1015" w:val="left" w:leader="none"/>
        </w:tabs>
        <w:spacing w:line="276" w:lineRule="auto" w:before="0" w:after="0"/>
        <w:ind w:left="1014" w:right="899" w:hanging="454"/>
        <w:jc w:val="left"/>
        <w:rPr>
          <w:sz w:val="18"/>
        </w:rPr>
      </w:pPr>
      <w:r>
        <w:rPr>
          <w:color w:val="586670"/>
          <w:sz w:val="18"/>
        </w:rPr>
        <w:t>Work methods of the Board of Directors and its</w:t>
      </w:r>
      <w:r>
        <w:rPr>
          <w:color w:val="586670"/>
          <w:spacing w:val="-8"/>
          <w:sz w:val="18"/>
        </w:rPr>
        <w:t> </w:t>
      </w:r>
      <w:r>
        <w:rPr>
          <w:color w:val="586670"/>
          <w:sz w:val="18"/>
        </w:rPr>
        <w:t>Committees</w:t>
      </w:r>
    </w:p>
    <w:p>
      <w:pPr>
        <w:pStyle w:val="BodyText"/>
        <w:spacing w:line="276" w:lineRule="auto"/>
        <w:ind w:left="560"/>
      </w:pPr>
      <w:r>
        <w:rPr>
          <w:color w:val="231F20"/>
          <w:w w:val="105"/>
        </w:rPr>
        <w:t>The Board meets as often as necessary, at least quarterly, and</w:t>
      </w:r>
      <w:r>
        <w:rPr>
          <w:color w:val="231F20"/>
          <w:spacing w:val="-9"/>
          <w:w w:val="105"/>
        </w:rPr>
        <w:t> </w:t>
      </w:r>
      <w:r>
        <w:rPr>
          <w:color w:val="231F20"/>
          <w:w w:val="105"/>
        </w:rPr>
        <w:t>on</w:t>
      </w:r>
      <w:r>
        <w:rPr>
          <w:color w:val="231F20"/>
          <w:spacing w:val="-9"/>
          <w:w w:val="105"/>
        </w:rPr>
        <w:t> </w:t>
      </w:r>
      <w:r>
        <w:rPr>
          <w:color w:val="231F20"/>
          <w:w w:val="105"/>
        </w:rPr>
        <w:t>notice</w:t>
      </w:r>
      <w:r>
        <w:rPr>
          <w:color w:val="231F20"/>
          <w:spacing w:val="-8"/>
          <w:w w:val="105"/>
        </w:rPr>
        <w:t> </w:t>
      </w:r>
      <w:r>
        <w:rPr>
          <w:color w:val="231F20"/>
          <w:w w:val="105"/>
        </w:rPr>
        <w:t>by</w:t>
      </w:r>
      <w:r>
        <w:rPr>
          <w:color w:val="231F20"/>
          <w:spacing w:val="-9"/>
          <w:w w:val="105"/>
        </w:rPr>
        <w:t> </w:t>
      </w:r>
      <w:r>
        <w:rPr>
          <w:color w:val="231F20"/>
          <w:w w:val="105"/>
        </w:rPr>
        <w:t>the</w:t>
      </w:r>
      <w:r>
        <w:rPr>
          <w:color w:val="231F20"/>
          <w:spacing w:val="-9"/>
          <w:w w:val="105"/>
        </w:rPr>
        <w:t> </w:t>
      </w:r>
      <w:r>
        <w:rPr>
          <w:color w:val="231F20"/>
          <w:w w:val="105"/>
        </w:rPr>
        <w:t>Chairman</w:t>
      </w:r>
      <w:r>
        <w:rPr>
          <w:color w:val="231F20"/>
          <w:spacing w:val="-8"/>
          <w:w w:val="105"/>
        </w:rPr>
        <w:t> </w:t>
      </w:r>
      <w:r>
        <w:rPr>
          <w:color w:val="231F20"/>
          <w:w w:val="105"/>
        </w:rPr>
        <w:t>or</w:t>
      </w:r>
      <w:r>
        <w:rPr>
          <w:color w:val="231F20"/>
          <w:spacing w:val="-9"/>
          <w:w w:val="105"/>
        </w:rPr>
        <w:t> </w:t>
      </w:r>
      <w:r>
        <w:rPr>
          <w:color w:val="231F20"/>
          <w:w w:val="105"/>
        </w:rPr>
        <w:t>by</w:t>
      </w:r>
      <w:r>
        <w:rPr>
          <w:color w:val="231F20"/>
          <w:spacing w:val="-9"/>
          <w:w w:val="105"/>
        </w:rPr>
        <w:t> </w:t>
      </w:r>
      <w:r>
        <w:rPr>
          <w:color w:val="231F20"/>
          <w:w w:val="105"/>
        </w:rPr>
        <w:t>the</w:t>
      </w:r>
      <w:r>
        <w:rPr>
          <w:color w:val="231F20"/>
          <w:spacing w:val="-8"/>
          <w:w w:val="105"/>
        </w:rPr>
        <w:t> </w:t>
      </w:r>
      <w:r>
        <w:rPr>
          <w:color w:val="231F20"/>
          <w:w w:val="105"/>
        </w:rPr>
        <w:t>person</w:t>
      </w:r>
      <w:r>
        <w:rPr>
          <w:color w:val="231F20"/>
          <w:spacing w:val="-9"/>
          <w:w w:val="105"/>
        </w:rPr>
        <w:t> </w:t>
      </w:r>
      <w:r>
        <w:rPr>
          <w:color w:val="231F20"/>
          <w:w w:val="105"/>
        </w:rPr>
        <w:t>designated by</w:t>
      </w:r>
      <w:r>
        <w:rPr>
          <w:color w:val="231F20"/>
          <w:spacing w:val="-6"/>
          <w:w w:val="105"/>
        </w:rPr>
        <w:t> </w:t>
      </w:r>
      <w:r>
        <w:rPr>
          <w:color w:val="231F20"/>
          <w:w w:val="105"/>
        </w:rPr>
        <w:t>him.</w:t>
      </w:r>
      <w:r>
        <w:rPr>
          <w:color w:val="231F20"/>
          <w:spacing w:val="-6"/>
          <w:w w:val="105"/>
        </w:rPr>
        <w:t> </w:t>
      </w:r>
      <w:r>
        <w:rPr>
          <w:color w:val="231F20"/>
          <w:w w:val="105"/>
        </w:rPr>
        <w:t>In</w:t>
      </w:r>
      <w:r>
        <w:rPr>
          <w:color w:val="231F20"/>
          <w:spacing w:val="-6"/>
          <w:w w:val="105"/>
        </w:rPr>
        <w:t> </w:t>
      </w:r>
      <w:r>
        <w:rPr>
          <w:color w:val="231F20"/>
          <w:w w:val="105"/>
        </w:rPr>
        <w:t>addition,</w:t>
      </w:r>
      <w:r>
        <w:rPr>
          <w:color w:val="231F20"/>
          <w:spacing w:val="-6"/>
          <w:w w:val="105"/>
        </w:rPr>
        <w:t> </w:t>
      </w:r>
      <w:r>
        <w:rPr>
          <w:color w:val="231F20"/>
          <w:w w:val="105"/>
        </w:rPr>
        <w:t>the</w:t>
      </w:r>
      <w:r>
        <w:rPr>
          <w:color w:val="231F20"/>
          <w:spacing w:val="-6"/>
          <w:w w:val="105"/>
        </w:rPr>
        <w:t> </w:t>
      </w:r>
      <w:r>
        <w:rPr>
          <w:color w:val="231F20"/>
          <w:w w:val="105"/>
        </w:rPr>
        <w:t>Board</w:t>
      </w:r>
      <w:r>
        <w:rPr>
          <w:color w:val="231F20"/>
          <w:spacing w:val="-6"/>
          <w:w w:val="105"/>
        </w:rPr>
        <w:t> </w:t>
      </w:r>
      <w:r>
        <w:rPr>
          <w:color w:val="231F20"/>
          <w:w w:val="105"/>
        </w:rPr>
        <w:t>must</w:t>
      </w:r>
      <w:r>
        <w:rPr>
          <w:color w:val="231F20"/>
          <w:spacing w:val="-5"/>
          <w:w w:val="105"/>
        </w:rPr>
        <w:t> </w:t>
      </w:r>
      <w:r>
        <w:rPr>
          <w:color w:val="231F20"/>
          <w:w w:val="105"/>
        </w:rPr>
        <w:t>be</w:t>
      </w:r>
      <w:r>
        <w:rPr>
          <w:color w:val="231F20"/>
          <w:spacing w:val="-6"/>
          <w:w w:val="105"/>
        </w:rPr>
        <w:t> </w:t>
      </w:r>
      <w:r>
        <w:rPr>
          <w:color w:val="231F20"/>
          <w:w w:val="105"/>
        </w:rPr>
        <w:t>convened</w:t>
      </w:r>
      <w:r>
        <w:rPr>
          <w:color w:val="231F20"/>
          <w:spacing w:val="-6"/>
          <w:w w:val="105"/>
        </w:rPr>
        <w:t> </w:t>
      </w:r>
      <w:r>
        <w:rPr>
          <w:color w:val="231F20"/>
          <w:w w:val="105"/>
        </w:rPr>
        <w:t>as</w:t>
      </w:r>
      <w:r>
        <w:rPr>
          <w:color w:val="231F20"/>
          <w:spacing w:val="-6"/>
          <w:w w:val="105"/>
        </w:rPr>
        <w:t> </w:t>
      </w:r>
      <w:r>
        <w:rPr>
          <w:color w:val="231F20"/>
          <w:w w:val="105"/>
        </w:rPr>
        <w:t>soon</w:t>
      </w:r>
      <w:r>
        <w:rPr>
          <w:color w:val="231F20"/>
          <w:spacing w:val="-6"/>
          <w:w w:val="105"/>
        </w:rPr>
        <w:t> </w:t>
      </w:r>
      <w:r>
        <w:rPr>
          <w:color w:val="231F20"/>
          <w:w w:val="105"/>
        </w:rPr>
        <w:t>as a</w:t>
      </w:r>
      <w:r>
        <w:rPr>
          <w:color w:val="231F20"/>
          <w:spacing w:val="-12"/>
          <w:w w:val="105"/>
        </w:rPr>
        <w:t> </w:t>
      </w:r>
      <w:r>
        <w:rPr>
          <w:color w:val="231F20"/>
          <w:w w:val="105"/>
        </w:rPr>
        <w:t>Board</w:t>
      </w:r>
      <w:r>
        <w:rPr>
          <w:color w:val="231F20"/>
          <w:spacing w:val="-11"/>
          <w:w w:val="105"/>
        </w:rPr>
        <w:t> </w:t>
      </w:r>
      <w:r>
        <w:rPr>
          <w:color w:val="231F20"/>
          <w:w w:val="105"/>
        </w:rPr>
        <w:t>member</w:t>
      </w:r>
      <w:r>
        <w:rPr>
          <w:color w:val="231F20"/>
          <w:spacing w:val="-11"/>
          <w:w w:val="105"/>
        </w:rPr>
        <w:t> </w:t>
      </w:r>
      <w:r>
        <w:rPr>
          <w:color w:val="231F20"/>
          <w:w w:val="105"/>
        </w:rPr>
        <w:t>requests</w:t>
      </w:r>
      <w:r>
        <w:rPr>
          <w:color w:val="231F20"/>
          <w:spacing w:val="-11"/>
          <w:w w:val="105"/>
        </w:rPr>
        <w:t> </w:t>
      </w:r>
      <w:r>
        <w:rPr>
          <w:color w:val="231F20"/>
          <w:w w:val="105"/>
        </w:rPr>
        <w:t>the</w:t>
      </w:r>
      <w:r>
        <w:rPr>
          <w:color w:val="231F20"/>
          <w:spacing w:val="-12"/>
          <w:w w:val="105"/>
        </w:rPr>
        <w:t> </w:t>
      </w:r>
      <w:r>
        <w:rPr>
          <w:color w:val="231F20"/>
          <w:w w:val="105"/>
        </w:rPr>
        <w:t>Chairman</w:t>
      </w:r>
      <w:r>
        <w:rPr>
          <w:color w:val="231F20"/>
          <w:spacing w:val="-11"/>
          <w:w w:val="105"/>
        </w:rPr>
        <w:t> </w:t>
      </w:r>
      <w:r>
        <w:rPr>
          <w:color w:val="231F20"/>
          <w:w w:val="105"/>
        </w:rPr>
        <w:t>to</w:t>
      </w:r>
      <w:r>
        <w:rPr>
          <w:color w:val="231F20"/>
          <w:spacing w:val="-11"/>
          <w:w w:val="105"/>
        </w:rPr>
        <w:t> </w:t>
      </w:r>
      <w:r>
        <w:rPr>
          <w:color w:val="231F20"/>
          <w:w w:val="105"/>
        </w:rPr>
        <w:t>call</w:t>
      </w:r>
      <w:r>
        <w:rPr>
          <w:color w:val="231F20"/>
          <w:spacing w:val="-12"/>
          <w:w w:val="105"/>
        </w:rPr>
        <w:t> </w:t>
      </w:r>
      <w:r>
        <w:rPr>
          <w:color w:val="231F20"/>
          <w:w w:val="105"/>
        </w:rPr>
        <w:t>a</w:t>
      </w:r>
      <w:r>
        <w:rPr>
          <w:color w:val="231F20"/>
          <w:spacing w:val="-11"/>
          <w:w w:val="105"/>
        </w:rPr>
        <w:t> </w:t>
      </w:r>
      <w:r>
        <w:rPr>
          <w:color w:val="231F20"/>
          <w:w w:val="105"/>
        </w:rPr>
        <w:t>meeting.</w:t>
      </w:r>
    </w:p>
    <w:p>
      <w:pPr>
        <w:pStyle w:val="BodyText"/>
        <w:spacing w:line="276" w:lineRule="auto"/>
        <w:ind w:left="560" w:right="217"/>
      </w:pPr>
      <w:r>
        <w:rPr>
          <w:color w:val="231F20"/>
        </w:rPr>
        <w:t>All Committees provide a detailed report to the full Board at each meeting in a dedicated Chairman’s session.</w:t>
      </w:r>
    </w:p>
    <w:p>
      <w:pPr>
        <w:pStyle w:val="BodyText"/>
        <w:spacing w:line="276" w:lineRule="auto"/>
        <w:ind w:left="560" w:right="93" w:firstLine="226"/>
      </w:pPr>
      <w:r>
        <w:rPr>
          <w:color w:val="231F20"/>
        </w:rPr>
        <w:t>The Board reserves at least one day per year to discuss  the strategic long-term plan of the Company. In addition, every year the Board visits one operating company for three to five days, in </w:t>
      </w:r>
      <w:r>
        <w:rPr>
          <w:color w:val="231F20"/>
          <w:spacing w:val="-4"/>
        </w:rPr>
        <w:t>2013 </w:t>
      </w:r>
      <w:r>
        <w:rPr>
          <w:color w:val="231F20"/>
        </w:rPr>
        <w:t>Nestlé in South Africa. The average attendance at the Board meetings was 98%, one Board member having missed one meeting due to health reasons. Board meetings, with the exception of certain Chairman’s and </w:t>
      </w:r>
      <w:r>
        <w:rPr>
          <w:rFonts w:ascii="Arial" w:hAnsi="Arial"/>
          <w:i/>
          <w:color w:val="231F20"/>
        </w:rPr>
        <w:t>in camera </w:t>
      </w:r>
      <w:r>
        <w:rPr>
          <w:color w:val="231F20"/>
        </w:rPr>
        <w:t>sessions, are attended by all members</w:t>
      </w:r>
      <w:r>
        <w:rPr>
          <w:color w:val="231F20"/>
          <w:spacing w:val="1"/>
        </w:rPr>
        <w:t> </w:t>
      </w:r>
      <w:r>
        <w:rPr>
          <w:color w:val="231F20"/>
        </w:rPr>
        <w:t>of</w:t>
      </w:r>
    </w:p>
    <w:p>
      <w:pPr>
        <w:pStyle w:val="BodyText"/>
        <w:spacing w:line="276" w:lineRule="auto"/>
        <w:ind w:left="560" w:right="217"/>
      </w:pPr>
      <w:r>
        <w:rPr>
          <w:color w:val="231F20"/>
        </w:rPr>
        <w:t>the Executive Board. In addition, selected members of the Executive Board and senior management participate in certain Committee meetings.</w:t>
      </w:r>
    </w:p>
    <w:p>
      <w:pPr>
        <w:pStyle w:val="BodyText"/>
        <w:spacing w:before="1"/>
        <w:rPr>
          <w:sz w:val="20"/>
        </w:rPr>
      </w:pPr>
    </w:p>
    <w:p>
      <w:pPr>
        <w:pStyle w:val="Heading3"/>
        <w:numPr>
          <w:ilvl w:val="1"/>
          <w:numId w:val="6"/>
        </w:numPr>
        <w:tabs>
          <w:tab w:pos="1015" w:val="left" w:leader="none"/>
        </w:tabs>
        <w:spacing w:line="240" w:lineRule="auto" w:before="1" w:after="0"/>
        <w:ind w:left="1014" w:right="0" w:hanging="454"/>
        <w:jc w:val="left"/>
      </w:pPr>
      <w:r>
        <w:rPr>
          <w:color w:val="586670"/>
          <w:w w:val="110"/>
        </w:rPr>
        <w:t>Definition of areas of</w:t>
      </w:r>
      <w:r>
        <w:rPr>
          <w:color w:val="586670"/>
          <w:spacing w:val="-32"/>
          <w:w w:val="110"/>
        </w:rPr>
        <w:t> </w:t>
      </w:r>
      <w:r>
        <w:rPr>
          <w:color w:val="586670"/>
          <w:w w:val="110"/>
        </w:rPr>
        <w:t>responsibility</w:t>
      </w:r>
    </w:p>
    <w:p>
      <w:pPr>
        <w:pStyle w:val="BodyText"/>
        <w:spacing w:before="31"/>
        <w:ind w:left="560"/>
      </w:pPr>
      <w:r>
        <w:rPr>
          <w:color w:val="231F20"/>
        </w:rPr>
        <w:t>The governing bodies have responsibilities as follows:</w:t>
      </w:r>
    </w:p>
    <w:p>
      <w:pPr>
        <w:pStyle w:val="BodyText"/>
        <w:rPr>
          <w:sz w:val="23"/>
        </w:rPr>
      </w:pPr>
    </w:p>
    <w:p>
      <w:pPr>
        <w:pStyle w:val="ListParagraph"/>
        <w:numPr>
          <w:ilvl w:val="2"/>
          <w:numId w:val="6"/>
        </w:numPr>
        <w:tabs>
          <w:tab w:pos="1015" w:val="left" w:leader="none"/>
        </w:tabs>
        <w:spacing w:line="240" w:lineRule="auto" w:before="0" w:after="0"/>
        <w:ind w:left="1014" w:right="0" w:hanging="454"/>
        <w:jc w:val="left"/>
        <w:rPr>
          <w:sz w:val="13"/>
        </w:rPr>
      </w:pPr>
      <w:r>
        <w:rPr>
          <w:color w:val="586670"/>
          <w:sz w:val="18"/>
        </w:rPr>
        <w:t>Board of Directors</w:t>
      </w:r>
      <w:r>
        <w:rPr>
          <w:color w:val="586670"/>
          <w:spacing w:val="-22"/>
          <w:sz w:val="18"/>
        </w:rPr>
        <w:t> </w:t>
      </w:r>
      <w:r>
        <w:rPr>
          <w:color w:val="586670"/>
          <w:spacing w:val="-6"/>
          <w:position w:val="5"/>
          <w:sz w:val="13"/>
        </w:rPr>
        <w:t>(1)</w:t>
      </w:r>
    </w:p>
    <w:p>
      <w:pPr>
        <w:pStyle w:val="BodyText"/>
        <w:spacing w:line="276" w:lineRule="auto" w:before="31"/>
        <w:ind w:left="560" w:right="217"/>
      </w:pPr>
      <w:r>
        <w:rPr>
          <w:color w:val="231F20"/>
        </w:rPr>
        <w:t>The Board of Directors is the ultimate governing body of the Company. It is responsible for the ultimate supervision of the Group. The Board attends to all matters which are not reserved for the Annual General Meeting or another governance body of the Company by law, the Articles of Association</w:t>
      </w:r>
      <w:r>
        <w:rPr>
          <w:color w:val="231F20"/>
          <w:spacing w:val="12"/>
        </w:rPr>
        <w:t> </w:t>
      </w:r>
      <w:r>
        <w:rPr>
          <w:color w:val="231F20"/>
        </w:rPr>
        <w:t>or</w:t>
      </w:r>
      <w:r>
        <w:rPr>
          <w:color w:val="231F20"/>
          <w:spacing w:val="13"/>
        </w:rPr>
        <w:t> </w:t>
      </w:r>
      <w:r>
        <w:rPr>
          <w:color w:val="231F20"/>
        </w:rPr>
        <w:t>specific</w:t>
      </w:r>
      <w:r>
        <w:rPr>
          <w:color w:val="231F20"/>
          <w:spacing w:val="13"/>
        </w:rPr>
        <w:t> </w:t>
      </w:r>
      <w:r>
        <w:rPr>
          <w:color w:val="231F20"/>
        </w:rPr>
        <w:t>regulations</w:t>
      </w:r>
      <w:r>
        <w:rPr>
          <w:color w:val="231F20"/>
          <w:spacing w:val="13"/>
        </w:rPr>
        <w:t> </w:t>
      </w:r>
      <w:r>
        <w:rPr>
          <w:color w:val="231F20"/>
        </w:rPr>
        <w:t>issued</w:t>
      </w:r>
      <w:r>
        <w:rPr>
          <w:color w:val="231F20"/>
          <w:spacing w:val="13"/>
        </w:rPr>
        <w:t> </w:t>
      </w:r>
      <w:r>
        <w:rPr>
          <w:color w:val="231F20"/>
        </w:rPr>
        <w:t>by</w:t>
      </w:r>
      <w:r>
        <w:rPr>
          <w:color w:val="231F20"/>
          <w:spacing w:val="13"/>
        </w:rPr>
        <w:t> </w:t>
      </w:r>
      <w:r>
        <w:rPr>
          <w:color w:val="231F20"/>
        </w:rPr>
        <w:t>the</w:t>
      </w:r>
      <w:r>
        <w:rPr>
          <w:color w:val="231F20"/>
          <w:spacing w:val="13"/>
        </w:rPr>
        <w:t> </w:t>
      </w:r>
      <w:r>
        <w:rPr>
          <w:color w:val="231F20"/>
        </w:rPr>
        <w:t>Board</w:t>
      </w:r>
    </w:p>
    <w:p>
      <w:pPr>
        <w:pStyle w:val="BodyText"/>
        <w:spacing w:line="207" w:lineRule="exact"/>
        <w:ind w:left="560"/>
      </w:pPr>
      <w:r>
        <w:rPr>
          <w:color w:val="231F20"/>
        </w:rPr>
        <w:t>of Directors.</w:t>
      </w:r>
    </w:p>
    <w:p>
      <w:pPr>
        <w:pStyle w:val="BodyText"/>
        <w:spacing w:before="31"/>
        <w:ind w:left="560"/>
      </w:pPr>
      <w:r>
        <w:rPr>
          <w:color w:val="231F20"/>
        </w:rPr>
        <w:t>The Board has the following main duties:</w:t>
      </w:r>
    </w:p>
    <w:p>
      <w:pPr>
        <w:pStyle w:val="ListParagraph"/>
        <w:numPr>
          <w:ilvl w:val="0"/>
          <w:numId w:val="12"/>
        </w:numPr>
        <w:tabs>
          <w:tab w:pos="788" w:val="left" w:leader="none"/>
        </w:tabs>
        <w:spacing w:line="276" w:lineRule="auto" w:before="31" w:after="0"/>
        <w:ind w:left="787" w:right="0" w:hanging="227"/>
        <w:jc w:val="left"/>
        <w:rPr>
          <w:sz w:val="18"/>
        </w:rPr>
      </w:pPr>
      <w:r>
        <w:rPr>
          <w:color w:val="231F20"/>
          <w:w w:val="105"/>
          <w:sz w:val="18"/>
        </w:rPr>
        <w:t>the ultimate direction of the Company, in particular the conduct, management and supervision of the business of the</w:t>
      </w:r>
      <w:r>
        <w:rPr>
          <w:color w:val="231F20"/>
          <w:spacing w:val="-12"/>
          <w:w w:val="105"/>
          <w:sz w:val="18"/>
        </w:rPr>
        <w:t> </w:t>
      </w:r>
      <w:r>
        <w:rPr>
          <w:color w:val="231F20"/>
          <w:w w:val="105"/>
          <w:sz w:val="18"/>
        </w:rPr>
        <w:t>Company,</w:t>
      </w:r>
      <w:r>
        <w:rPr>
          <w:color w:val="231F20"/>
          <w:spacing w:val="-12"/>
          <w:w w:val="105"/>
          <w:sz w:val="18"/>
        </w:rPr>
        <w:t> </w:t>
      </w:r>
      <w:r>
        <w:rPr>
          <w:color w:val="231F20"/>
          <w:w w:val="105"/>
          <w:sz w:val="18"/>
        </w:rPr>
        <w:t>and</w:t>
      </w:r>
      <w:r>
        <w:rPr>
          <w:color w:val="231F20"/>
          <w:spacing w:val="-12"/>
          <w:w w:val="105"/>
          <w:sz w:val="18"/>
        </w:rPr>
        <w:t> </w:t>
      </w:r>
      <w:r>
        <w:rPr>
          <w:color w:val="231F20"/>
          <w:w w:val="105"/>
          <w:sz w:val="18"/>
        </w:rPr>
        <w:t>the</w:t>
      </w:r>
      <w:r>
        <w:rPr>
          <w:color w:val="231F20"/>
          <w:spacing w:val="-12"/>
          <w:w w:val="105"/>
          <w:sz w:val="18"/>
        </w:rPr>
        <w:t> </w:t>
      </w:r>
      <w:r>
        <w:rPr>
          <w:color w:val="231F20"/>
          <w:w w:val="105"/>
          <w:sz w:val="18"/>
        </w:rPr>
        <w:t>provision</w:t>
      </w:r>
      <w:r>
        <w:rPr>
          <w:color w:val="231F20"/>
          <w:spacing w:val="-12"/>
          <w:w w:val="105"/>
          <w:sz w:val="18"/>
        </w:rPr>
        <w:t> </w:t>
      </w:r>
      <w:r>
        <w:rPr>
          <w:color w:val="231F20"/>
          <w:w w:val="105"/>
          <w:sz w:val="18"/>
        </w:rPr>
        <w:t>of</w:t>
      </w:r>
      <w:r>
        <w:rPr>
          <w:color w:val="231F20"/>
          <w:spacing w:val="-12"/>
          <w:w w:val="105"/>
          <w:sz w:val="18"/>
        </w:rPr>
        <w:t> </w:t>
      </w:r>
      <w:r>
        <w:rPr>
          <w:color w:val="231F20"/>
          <w:w w:val="105"/>
          <w:sz w:val="18"/>
        </w:rPr>
        <w:t>necessary</w:t>
      </w:r>
      <w:r>
        <w:rPr>
          <w:color w:val="231F20"/>
          <w:spacing w:val="-12"/>
          <w:w w:val="105"/>
          <w:sz w:val="18"/>
        </w:rPr>
        <w:t> </w:t>
      </w:r>
      <w:r>
        <w:rPr>
          <w:color w:val="231F20"/>
          <w:w w:val="105"/>
          <w:sz w:val="18"/>
        </w:rPr>
        <w:t>directions;</w:t>
      </w:r>
    </w:p>
    <w:p>
      <w:pPr>
        <w:pStyle w:val="ListParagraph"/>
        <w:numPr>
          <w:ilvl w:val="0"/>
          <w:numId w:val="12"/>
        </w:numPr>
        <w:tabs>
          <w:tab w:pos="788" w:val="left" w:leader="none"/>
        </w:tabs>
        <w:spacing w:line="208" w:lineRule="exact" w:before="0" w:after="0"/>
        <w:ind w:left="787" w:right="0" w:hanging="227"/>
        <w:jc w:val="left"/>
        <w:rPr>
          <w:sz w:val="18"/>
        </w:rPr>
      </w:pPr>
      <w:r>
        <w:rPr>
          <w:color w:val="231F20"/>
          <w:sz w:val="18"/>
        </w:rPr>
        <w:t>the determination of the Company’s</w:t>
      </w:r>
      <w:r>
        <w:rPr>
          <w:color w:val="231F20"/>
          <w:spacing w:val="5"/>
          <w:sz w:val="18"/>
        </w:rPr>
        <w:t> </w:t>
      </w:r>
      <w:r>
        <w:rPr>
          <w:color w:val="231F20"/>
          <w:sz w:val="18"/>
        </w:rPr>
        <w:t>organisation;</w:t>
      </w:r>
    </w:p>
    <w:p>
      <w:pPr>
        <w:pStyle w:val="ListParagraph"/>
        <w:numPr>
          <w:ilvl w:val="0"/>
          <w:numId w:val="12"/>
        </w:numPr>
        <w:tabs>
          <w:tab w:pos="788" w:val="left" w:leader="none"/>
        </w:tabs>
        <w:spacing w:line="276" w:lineRule="auto" w:before="31" w:after="0"/>
        <w:ind w:left="787" w:right="127" w:hanging="227"/>
        <w:jc w:val="left"/>
        <w:rPr>
          <w:sz w:val="18"/>
        </w:rPr>
      </w:pPr>
      <w:r>
        <w:rPr>
          <w:color w:val="231F20"/>
          <w:sz w:val="18"/>
        </w:rPr>
        <w:t>the determination of accounting and financial control principles, as well as the principles of financial</w:t>
      </w:r>
      <w:r>
        <w:rPr>
          <w:color w:val="231F20"/>
          <w:spacing w:val="39"/>
          <w:sz w:val="18"/>
        </w:rPr>
        <w:t> </w:t>
      </w:r>
      <w:r>
        <w:rPr>
          <w:color w:val="231F20"/>
          <w:sz w:val="18"/>
        </w:rPr>
        <w:t>planning;</w:t>
      </w:r>
    </w:p>
    <w:p>
      <w:pPr>
        <w:pStyle w:val="BodyText"/>
        <w:spacing w:before="4"/>
        <w:rPr>
          <w:sz w:val="22"/>
        </w:rPr>
      </w:pPr>
      <w:r>
        <w:rPr/>
        <w:br w:type="column"/>
      </w:r>
      <w:r>
        <w:rPr>
          <w:sz w:val="22"/>
        </w:rPr>
      </w:r>
    </w:p>
    <w:p>
      <w:pPr>
        <w:pStyle w:val="ListParagraph"/>
        <w:numPr>
          <w:ilvl w:val="0"/>
          <w:numId w:val="12"/>
        </w:numPr>
        <w:tabs>
          <w:tab w:pos="420" w:val="left" w:leader="none"/>
        </w:tabs>
        <w:spacing w:line="276" w:lineRule="auto" w:before="0" w:after="0"/>
        <w:ind w:left="419" w:right="391" w:hanging="227"/>
        <w:jc w:val="left"/>
        <w:rPr>
          <w:sz w:val="18"/>
        </w:rPr>
      </w:pPr>
      <w:r>
        <w:rPr>
          <w:color w:val="231F20"/>
          <w:sz w:val="18"/>
        </w:rPr>
        <w:t>the appointment and removal of the Chairman and the Vice Chairmen, of the Committee members and members of the Executive</w:t>
      </w:r>
      <w:r>
        <w:rPr>
          <w:color w:val="231F20"/>
          <w:spacing w:val="-2"/>
          <w:sz w:val="18"/>
        </w:rPr>
        <w:t> </w:t>
      </w:r>
      <w:r>
        <w:rPr>
          <w:color w:val="231F20"/>
          <w:sz w:val="18"/>
        </w:rPr>
        <w:t>Board;</w:t>
      </w:r>
    </w:p>
    <w:p>
      <w:pPr>
        <w:pStyle w:val="ListParagraph"/>
        <w:numPr>
          <w:ilvl w:val="0"/>
          <w:numId w:val="12"/>
        </w:numPr>
        <w:tabs>
          <w:tab w:pos="420" w:val="left" w:leader="none"/>
        </w:tabs>
        <w:spacing w:line="276" w:lineRule="auto" w:before="0" w:after="0"/>
        <w:ind w:left="419" w:right="384" w:hanging="227"/>
        <w:jc w:val="left"/>
        <w:rPr>
          <w:sz w:val="18"/>
        </w:rPr>
      </w:pPr>
      <w:r>
        <w:rPr>
          <w:color w:val="231F20"/>
          <w:sz w:val="18"/>
        </w:rPr>
        <w:t>the ultimate supervision of the Chairman and the members of the Executive Board, in particular with respect to their compliance with the law, the Articles of Association, the Board Regulations and instructions given from time to time by the</w:t>
      </w:r>
      <w:r>
        <w:rPr>
          <w:color w:val="231F20"/>
          <w:spacing w:val="-10"/>
          <w:sz w:val="18"/>
        </w:rPr>
        <w:t> </w:t>
      </w:r>
      <w:r>
        <w:rPr>
          <w:color w:val="231F20"/>
          <w:sz w:val="18"/>
        </w:rPr>
        <w:t>Board;</w:t>
      </w:r>
    </w:p>
    <w:p>
      <w:pPr>
        <w:pStyle w:val="ListParagraph"/>
        <w:numPr>
          <w:ilvl w:val="0"/>
          <w:numId w:val="12"/>
        </w:numPr>
        <w:tabs>
          <w:tab w:pos="420" w:val="left" w:leader="none"/>
        </w:tabs>
        <w:spacing w:line="276" w:lineRule="auto" w:before="0" w:after="0"/>
        <w:ind w:left="419" w:right="140" w:hanging="227"/>
        <w:jc w:val="left"/>
        <w:rPr>
          <w:sz w:val="18"/>
        </w:rPr>
      </w:pPr>
      <w:r>
        <w:rPr>
          <w:color w:val="231F20"/>
          <w:sz w:val="18"/>
        </w:rPr>
        <w:t>the preparation of the Annual Report, the Annual General Meeting and execution of its</w:t>
      </w:r>
      <w:r>
        <w:rPr>
          <w:color w:val="231F20"/>
          <w:spacing w:val="1"/>
          <w:sz w:val="18"/>
        </w:rPr>
        <w:t> </w:t>
      </w:r>
      <w:r>
        <w:rPr>
          <w:color w:val="231F20"/>
          <w:sz w:val="18"/>
        </w:rPr>
        <w:t>resolutions;</w:t>
      </w:r>
    </w:p>
    <w:p>
      <w:pPr>
        <w:pStyle w:val="ListParagraph"/>
        <w:numPr>
          <w:ilvl w:val="0"/>
          <w:numId w:val="12"/>
        </w:numPr>
        <w:tabs>
          <w:tab w:pos="420" w:val="left" w:leader="none"/>
        </w:tabs>
        <w:spacing w:line="276" w:lineRule="auto" w:before="0" w:after="0"/>
        <w:ind w:left="419" w:right="1397" w:hanging="227"/>
        <w:jc w:val="left"/>
        <w:rPr>
          <w:sz w:val="18"/>
        </w:rPr>
      </w:pPr>
      <w:r>
        <w:rPr>
          <w:color w:val="231F20"/>
          <w:sz w:val="18"/>
        </w:rPr>
        <w:t>the notification of the court in the event of overindebtedness;</w:t>
      </w:r>
    </w:p>
    <w:p>
      <w:pPr>
        <w:pStyle w:val="ListParagraph"/>
        <w:numPr>
          <w:ilvl w:val="0"/>
          <w:numId w:val="12"/>
        </w:numPr>
        <w:tabs>
          <w:tab w:pos="420" w:val="left" w:leader="none"/>
        </w:tabs>
        <w:spacing w:line="208" w:lineRule="exact" w:before="0" w:after="0"/>
        <w:ind w:left="419" w:right="0" w:hanging="227"/>
        <w:jc w:val="left"/>
        <w:rPr>
          <w:sz w:val="18"/>
        </w:rPr>
      </w:pPr>
      <w:r>
        <w:rPr>
          <w:color w:val="231F20"/>
          <w:sz w:val="18"/>
        </w:rPr>
        <w:t>the discussion and approval</w:t>
      </w:r>
      <w:r>
        <w:rPr>
          <w:color w:val="231F20"/>
          <w:spacing w:val="-5"/>
          <w:sz w:val="18"/>
        </w:rPr>
        <w:t> </w:t>
      </w:r>
      <w:r>
        <w:rPr>
          <w:color w:val="231F20"/>
          <w:sz w:val="18"/>
        </w:rPr>
        <w:t>of:</w:t>
      </w:r>
    </w:p>
    <w:p>
      <w:pPr>
        <w:pStyle w:val="ListParagraph"/>
        <w:numPr>
          <w:ilvl w:val="1"/>
          <w:numId w:val="11"/>
        </w:numPr>
        <w:tabs>
          <w:tab w:pos="647" w:val="left" w:leader="none"/>
        </w:tabs>
        <w:spacing w:line="276" w:lineRule="auto" w:before="28" w:after="0"/>
        <w:ind w:left="646" w:right="315" w:hanging="227"/>
        <w:jc w:val="left"/>
        <w:rPr>
          <w:sz w:val="18"/>
        </w:rPr>
      </w:pPr>
      <w:r>
        <w:rPr>
          <w:color w:val="231F20"/>
          <w:sz w:val="18"/>
        </w:rPr>
        <w:t>the </w:t>
      </w:r>
      <w:r>
        <w:rPr>
          <w:color w:val="231F20"/>
          <w:spacing w:val="-3"/>
          <w:sz w:val="18"/>
        </w:rPr>
        <w:t>Group’s </w:t>
      </w:r>
      <w:r>
        <w:rPr>
          <w:color w:val="231F20"/>
          <w:sz w:val="18"/>
        </w:rPr>
        <w:t>long-term strategy and annual investment budget;</w:t>
      </w:r>
    </w:p>
    <w:p>
      <w:pPr>
        <w:pStyle w:val="ListParagraph"/>
        <w:numPr>
          <w:ilvl w:val="1"/>
          <w:numId w:val="11"/>
        </w:numPr>
        <w:tabs>
          <w:tab w:pos="647" w:val="left" w:leader="none"/>
        </w:tabs>
        <w:spacing w:line="208" w:lineRule="exact" w:before="0" w:after="0"/>
        <w:ind w:left="646" w:right="0" w:hanging="227"/>
        <w:jc w:val="left"/>
        <w:rPr>
          <w:sz w:val="18"/>
        </w:rPr>
      </w:pPr>
      <w:r>
        <w:rPr>
          <w:color w:val="231F20"/>
          <w:sz w:val="18"/>
        </w:rPr>
        <w:t>major financial</w:t>
      </w:r>
      <w:r>
        <w:rPr>
          <w:color w:val="231F20"/>
          <w:spacing w:val="-16"/>
          <w:sz w:val="18"/>
        </w:rPr>
        <w:t> </w:t>
      </w:r>
      <w:r>
        <w:rPr>
          <w:color w:val="231F20"/>
          <w:sz w:val="18"/>
        </w:rPr>
        <w:t>operations;</w:t>
      </w:r>
    </w:p>
    <w:p>
      <w:pPr>
        <w:pStyle w:val="ListParagraph"/>
        <w:numPr>
          <w:ilvl w:val="1"/>
          <w:numId w:val="11"/>
        </w:numPr>
        <w:tabs>
          <w:tab w:pos="647" w:val="left" w:leader="none"/>
        </w:tabs>
        <w:spacing w:line="276" w:lineRule="auto" w:before="31" w:after="0"/>
        <w:ind w:left="646" w:right="124" w:hanging="227"/>
        <w:jc w:val="left"/>
        <w:rPr>
          <w:sz w:val="18"/>
        </w:rPr>
      </w:pPr>
      <w:r>
        <w:rPr>
          <w:color w:val="231F20"/>
          <w:sz w:val="18"/>
        </w:rPr>
        <w:t>any significant policy issue dealing with the Company’s or the Group’s general structure or with financial, commercial and industrial</w:t>
      </w:r>
      <w:r>
        <w:rPr>
          <w:color w:val="231F20"/>
          <w:spacing w:val="-21"/>
          <w:sz w:val="18"/>
        </w:rPr>
        <w:t> </w:t>
      </w:r>
      <w:r>
        <w:rPr>
          <w:color w:val="231F20"/>
          <w:sz w:val="18"/>
        </w:rPr>
        <w:t>policy;</w:t>
      </w:r>
    </w:p>
    <w:p>
      <w:pPr>
        <w:pStyle w:val="ListParagraph"/>
        <w:numPr>
          <w:ilvl w:val="1"/>
          <w:numId w:val="11"/>
        </w:numPr>
        <w:tabs>
          <w:tab w:pos="647" w:val="left" w:leader="none"/>
        </w:tabs>
        <w:spacing w:line="208" w:lineRule="exact" w:before="0" w:after="0"/>
        <w:ind w:left="646" w:right="0" w:hanging="227"/>
        <w:jc w:val="left"/>
        <w:rPr>
          <w:sz w:val="18"/>
        </w:rPr>
      </w:pPr>
      <w:r>
        <w:rPr>
          <w:color w:val="231F20"/>
          <w:sz w:val="18"/>
        </w:rPr>
        <w:t>Corporate Governance Principles of the</w:t>
      </w:r>
      <w:r>
        <w:rPr>
          <w:color w:val="231F20"/>
          <w:spacing w:val="1"/>
          <w:sz w:val="18"/>
        </w:rPr>
        <w:t> </w:t>
      </w:r>
      <w:r>
        <w:rPr>
          <w:color w:val="231F20"/>
          <w:sz w:val="18"/>
        </w:rPr>
        <w:t>Company;</w:t>
      </w:r>
    </w:p>
    <w:p>
      <w:pPr>
        <w:pStyle w:val="ListParagraph"/>
        <w:numPr>
          <w:ilvl w:val="1"/>
          <w:numId w:val="11"/>
        </w:numPr>
        <w:tabs>
          <w:tab w:pos="647" w:val="left" w:leader="none"/>
        </w:tabs>
        <w:spacing w:line="276" w:lineRule="auto" w:before="31" w:after="0"/>
        <w:ind w:left="646" w:right="467" w:hanging="227"/>
        <w:jc w:val="left"/>
        <w:rPr>
          <w:sz w:val="18"/>
        </w:rPr>
      </w:pPr>
      <w:r>
        <w:rPr>
          <w:color w:val="231F20"/>
          <w:sz w:val="18"/>
        </w:rPr>
        <w:t>the review of and decision on any report submitted to the</w:t>
      </w:r>
      <w:r>
        <w:rPr>
          <w:color w:val="231F20"/>
          <w:spacing w:val="-16"/>
          <w:sz w:val="18"/>
        </w:rPr>
        <w:t> </w:t>
      </w:r>
      <w:r>
        <w:rPr>
          <w:color w:val="231F20"/>
          <w:sz w:val="18"/>
        </w:rPr>
        <w:t>Board;</w:t>
      </w:r>
    </w:p>
    <w:p>
      <w:pPr>
        <w:pStyle w:val="ListParagraph"/>
        <w:numPr>
          <w:ilvl w:val="1"/>
          <w:numId w:val="11"/>
        </w:numPr>
        <w:tabs>
          <w:tab w:pos="647" w:val="left" w:leader="none"/>
        </w:tabs>
        <w:spacing w:line="208" w:lineRule="exact" w:before="0" w:after="0"/>
        <w:ind w:left="646" w:right="0" w:hanging="227"/>
        <w:jc w:val="left"/>
        <w:rPr>
          <w:sz w:val="18"/>
        </w:rPr>
      </w:pPr>
      <w:r>
        <w:rPr>
          <w:color w:val="231F20"/>
          <w:w w:val="105"/>
          <w:sz w:val="18"/>
        </w:rPr>
        <w:t>the</w:t>
      </w:r>
      <w:r>
        <w:rPr>
          <w:color w:val="231F20"/>
          <w:spacing w:val="-12"/>
          <w:w w:val="105"/>
          <w:sz w:val="18"/>
        </w:rPr>
        <w:t> </w:t>
      </w:r>
      <w:r>
        <w:rPr>
          <w:color w:val="231F20"/>
          <w:w w:val="105"/>
          <w:sz w:val="18"/>
        </w:rPr>
        <w:t>Group’s</w:t>
      </w:r>
      <w:r>
        <w:rPr>
          <w:color w:val="231F20"/>
          <w:spacing w:val="-12"/>
          <w:w w:val="105"/>
          <w:sz w:val="18"/>
        </w:rPr>
        <w:t> </w:t>
      </w:r>
      <w:r>
        <w:rPr>
          <w:color w:val="231F20"/>
          <w:w w:val="105"/>
          <w:sz w:val="18"/>
        </w:rPr>
        <w:t>annual</w:t>
      </w:r>
      <w:r>
        <w:rPr>
          <w:color w:val="231F20"/>
          <w:spacing w:val="-11"/>
          <w:w w:val="105"/>
          <w:sz w:val="18"/>
        </w:rPr>
        <w:t> </w:t>
      </w:r>
      <w:r>
        <w:rPr>
          <w:color w:val="231F20"/>
          <w:w w:val="105"/>
          <w:sz w:val="18"/>
        </w:rPr>
        <w:t>risk</w:t>
      </w:r>
      <w:r>
        <w:rPr>
          <w:color w:val="231F20"/>
          <w:spacing w:val="-12"/>
          <w:w w:val="105"/>
          <w:sz w:val="18"/>
        </w:rPr>
        <w:t> </w:t>
      </w:r>
      <w:r>
        <w:rPr>
          <w:color w:val="231F20"/>
          <w:w w:val="105"/>
          <w:sz w:val="18"/>
        </w:rPr>
        <w:t>assessment.</w:t>
      </w:r>
    </w:p>
    <w:p>
      <w:pPr>
        <w:pStyle w:val="BodyText"/>
        <w:spacing w:before="4"/>
        <w:rPr>
          <w:sz w:val="23"/>
        </w:rPr>
      </w:pPr>
    </w:p>
    <w:p>
      <w:pPr>
        <w:pStyle w:val="ListParagraph"/>
        <w:numPr>
          <w:ilvl w:val="2"/>
          <w:numId w:val="6"/>
        </w:numPr>
        <w:tabs>
          <w:tab w:pos="647" w:val="left" w:leader="none"/>
        </w:tabs>
        <w:spacing w:line="240" w:lineRule="auto" w:before="0" w:after="0"/>
        <w:ind w:left="646" w:right="0" w:hanging="454"/>
        <w:jc w:val="left"/>
        <w:rPr>
          <w:sz w:val="18"/>
        </w:rPr>
      </w:pPr>
      <w:r>
        <w:rPr>
          <w:color w:val="586670"/>
          <w:w w:val="105"/>
          <w:sz w:val="18"/>
        </w:rPr>
        <w:t>Executive</w:t>
      </w:r>
      <w:r>
        <w:rPr>
          <w:color w:val="586670"/>
          <w:spacing w:val="-11"/>
          <w:w w:val="105"/>
          <w:sz w:val="18"/>
        </w:rPr>
        <w:t> </w:t>
      </w:r>
      <w:r>
        <w:rPr>
          <w:color w:val="586670"/>
          <w:w w:val="105"/>
          <w:sz w:val="18"/>
        </w:rPr>
        <w:t>Board</w:t>
      </w:r>
    </w:p>
    <w:p>
      <w:pPr>
        <w:pStyle w:val="BodyText"/>
        <w:spacing w:line="276" w:lineRule="auto" w:before="31"/>
        <w:ind w:left="192" w:right="498"/>
      </w:pPr>
      <w:r>
        <w:rPr>
          <w:color w:val="231F20"/>
        </w:rPr>
        <w:t>The Board of Directors delegates to the CEO, with the authorisation to subdelegate, the power to manage the Company’s and the Group’s business, subject to </w:t>
      </w:r>
      <w:r>
        <w:rPr>
          <w:color w:val="231F20"/>
          <w:spacing w:val="-3"/>
        </w:rPr>
        <w:t>law, </w:t>
      </w:r>
      <w:r>
        <w:rPr>
          <w:color w:val="231F20"/>
        </w:rPr>
        <w:t>the Articles of Association and the Regulations of the Board  of</w:t>
      </w:r>
      <w:r>
        <w:rPr>
          <w:color w:val="231F20"/>
          <w:spacing w:val="-3"/>
        </w:rPr>
        <w:t> </w:t>
      </w:r>
      <w:r>
        <w:rPr>
          <w:color w:val="231F20"/>
        </w:rPr>
        <w:t>Directors.</w:t>
      </w:r>
    </w:p>
    <w:p>
      <w:pPr>
        <w:pStyle w:val="BodyText"/>
        <w:spacing w:line="276" w:lineRule="auto"/>
        <w:ind w:left="192" w:firstLine="226"/>
      </w:pPr>
      <w:r>
        <w:rPr>
          <w:color w:val="231F20"/>
        </w:rPr>
        <w:t>The CEO chairs the Executive Board and delegates to its members individually the powers necessary for carrying out their responsibilities, within the limits fixed in the Executive Board Regulations.</w:t>
      </w:r>
    </w:p>
    <w:p>
      <w:pPr>
        <w:spacing w:after="0" w:line="276" w:lineRule="auto"/>
        <w:sectPr>
          <w:type w:val="continuous"/>
          <w:pgSz w:w="11910" w:h="14750"/>
          <w:pgMar w:top="540" w:bottom="280" w:left="460" w:right="460"/>
          <w:cols w:num="2" w:equalWidth="0">
            <w:col w:w="5601" w:space="40"/>
            <w:col w:w="5349"/>
          </w:cols>
        </w:sectPr>
      </w:pPr>
    </w:p>
    <w:p>
      <w:pPr>
        <w:pStyle w:val="BodyText"/>
        <w:rPr>
          <w:sz w:val="20"/>
        </w:rPr>
      </w:pPr>
    </w:p>
    <w:p>
      <w:pPr>
        <w:pStyle w:val="BodyText"/>
        <w:rPr>
          <w:sz w:val="20"/>
        </w:rPr>
      </w:pPr>
    </w:p>
    <w:p>
      <w:pPr>
        <w:pStyle w:val="BodyText"/>
        <w:spacing w:before="9"/>
        <w:rPr>
          <w:sz w:val="15"/>
        </w:rPr>
      </w:pPr>
    </w:p>
    <w:p>
      <w:pPr>
        <w:pStyle w:val="Heading3"/>
        <w:numPr>
          <w:ilvl w:val="1"/>
          <w:numId w:val="6"/>
        </w:numPr>
        <w:tabs>
          <w:tab w:pos="561" w:val="left" w:leader="none"/>
        </w:tabs>
        <w:spacing w:line="276" w:lineRule="auto" w:before="108" w:after="0"/>
        <w:ind w:left="560" w:right="6250" w:hanging="454"/>
        <w:jc w:val="left"/>
      </w:pPr>
      <w:r>
        <w:rPr>
          <w:color w:val="586670"/>
          <w:w w:val="110"/>
        </w:rPr>
        <w:t>Information and control instruments</w:t>
      </w:r>
      <w:r>
        <w:rPr>
          <w:color w:val="586670"/>
          <w:spacing w:val="-40"/>
          <w:w w:val="110"/>
        </w:rPr>
        <w:t> </w:t>
      </w:r>
      <w:r>
        <w:rPr>
          <w:color w:val="586670"/>
          <w:spacing w:val="2"/>
          <w:w w:val="110"/>
        </w:rPr>
        <w:t>vis-à-vis </w:t>
      </w:r>
      <w:r>
        <w:rPr>
          <w:color w:val="586670"/>
          <w:w w:val="110"/>
        </w:rPr>
        <w:t>the Executive</w:t>
      </w:r>
      <w:r>
        <w:rPr>
          <w:color w:val="586670"/>
          <w:spacing w:val="-16"/>
          <w:w w:val="110"/>
        </w:rPr>
        <w:t> </w:t>
      </w:r>
      <w:r>
        <w:rPr>
          <w:color w:val="586670"/>
          <w:w w:val="110"/>
        </w:rPr>
        <w:t>Board</w:t>
      </w:r>
    </w:p>
    <w:p>
      <w:pPr>
        <w:pStyle w:val="BodyText"/>
        <w:spacing w:line="276" w:lineRule="auto"/>
        <w:ind w:left="106" w:right="5943"/>
      </w:pPr>
      <w:r>
        <w:rPr>
          <w:color w:val="231F20"/>
        </w:rPr>
        <w:t>The Board of Directors is, on a regular basis, informed on material matters involving the Company’s and the Group’s business. The members of the Executive Board attend the Board of Directors meetings and report on significant projects and events. In addition, regular written reports are provided, including consolidated financial information, capital investment and strategy progress reports.</w:t>
      </w:r>
    </w:p>
    <w:p>
      <w:pPr>
        <w:pStyle w:val="BodyText"/>
        <w:spacing w:line="276" w:lineRule="auto"/>
        <w:ind w:left="106" w:right="5832" w:firstLine="226"/>
        <w:jc w:val="right"/>
      </w:pPr>
      <w:r>
        <w:rPr>
          <w:color w:val="231F20"/>
        </w:rPr>
        <w:t>The Chairman and the CEO ensure the proper information</w:t>
      </w:r>
      <w:r>
        <w:rPr>
          <w:color w:val="231F20"/>
          <w:w w:val="108"/>
        </w:rPr>
        <w:t> </w:t>
      </w:r>
      <w:r>
        <w:rPr>
          <w:color w:val="231F20"/>
        </w:rPr>
        <w:t>flow between the Executive Board and the Board of Directors.</w:t>
      </w:r>
    </w:p>
    <w:p>
      <w:pPr>
        <w:pStyle w:val="BodyText"/>
        <w:spacing w:line="276" w:lineRule="auto"/>
        <w:ind w:left="106" w:right="5881" w:firstLine="226"/>
      </w:pPr>
      <w:r>
        <w:rPr>
          <w:color w:val="231F20"/>
        </w:rPr>
        <w:t>The Board of Directors receives regular and ad-hoc reports from the Board’s Committees, the Chairman, the CEO, as  well as from the Executive Board. The minutes of Committee meetings are made available to the full Board. The Board pays a visit to a major market every year, where it meets members of senior</w:t>
      </w:r>
      <w:r>
        <w:rPr>
          <w:color w:val="231F20"/>
          <w:spacing w:val="-2"/>
        </w:rPr>
        <w:t> </w:t>
      </w:r>
      <w:r>
        <w:rPr>
          <w:color w:val="231F20"/>
        </w:rPr>
        <w:t>management.</w:t>
      </w:r>
    </w:p>
    <w:p>
      <w:pPr>
        <w:pStyle w:val="BodyText"/>
        <w:spacing w:line="276" w:lineRule="auto"/>
        <w:ind w:left="106" w:right="5971" w:firstLine="226"/>
      </w:pPr>
      <w:r>
        <w:rPr>
          <w:color w:val="231F20"/>
        </w:rPr>
        <w:t>Furthermore, the Audit Committee reviews the financial performance and assesses the effectiveness of the internal and external audit processes as well as the internal risk management organisation and processes.</w:t>
      </w:r>
    </w:p>
    <w:p>
      <w:pPr>
        <w:pStyle w:val="BodyText"/>
        <w:spacing w:line="276" w:lineRule="auto"/>
        <w:ind w:left="106" w:right="5801" w:firstLine="226"/>
      </w:pPr>
      <w:r>
        <w:rPr>
          <w:color w:val="231F20"/>
          <w:w w:val="105"/>
        </w:rPr>
        <w:t>Members of the Executive Board and other senior management</w:t>
      </w:r>
      <w:r>
        <w:rPr>
          <w:color w:val="231F20"/>
          <w:spacing w:val="-18"/>
          <w:w w:val="105"/>
        </w:rPr>
        <w:t> </w:t>
      </w:r>
      <w:r>
        <w:rPr>
          <w:color w:val="231F20"/>
          <w:w w:val="105"/>
        </w:rPr>
        <w:t>attend</w:t>
      </w:r>
      <w:r>
        <w:rPr>
          <w:color w:val="231F20"/>
          <w:spacing w:val="-18"/>
          <w:w w:val="105"/>
        </w:rPr>
        <w:t> </w:t>
      </w:r>
      <w:r>
        <w:rPr>
          <w:color w:val="231F20"/>
          <w:w w:val="105"/>
        </w:rPr>
        <w:t>the</w:t>
      </w:r>
      <w:r>
        <w:rPr>
          <w:color w:val="231F20"/>
          <w:spacing w:val="-18"/>
          <w:w w:val="105"/>
        </w:rPr>
        <w:t> </w:t>
      </w:r>
      <w:r>
        <w:rPr>
          <w:color w:val="231F20"/>
          <w:w w:val="105"/>
        </w:rPr>
        <w:t>Audit</w:t>
      </w:r>
      <w:r>
        <w:rPr>
          <w:color w:val="231F20"/>
          <w:spacing w:val="-18"/>
          <w:w w:val="105"/>
        </w:rPr>
        <w:t> </w:t>
      </w:r>
      <w:r>
        <w:rPr>
          <w:color w:val="231F20"/>
          <w:w w:val="105"/>
        </w:rPr>
        <w:t>Committee</w:t>
      </w:r>
      <w:r>
        <w:rPr>
          <w:color w:val="231F20"/>
          <w:spacing w:val="-18"/>
          <w:w w:val="105"/>
        </w:rPr>
        <w:t> </w:t>
      </w:r>
      <w:r>
        <w:rPr>
          <w:color w:val="231F20"/>
          <w:w w:val="105"/>
        </w:rPr>
        <w:t>meetings,</w:t>
      </w:r>
      <w:r>
        <w:rPr>
          <w:color w:val="231F20"/>
          <w:spacing w:val="-17"/>
          <w:w w:val="105"/>
        </w:rPr>
        <w:t> </w:t>
      </w:r>
      <w:r>
        <w:rPr>
          <w:color w:val="231F20"/>
          <w:w w:val="105"/>
        </w:rPr>
        <w:t>except for certain </w:t>
      </w:r>
      <w:r>
        <w:rPr>
          <w:rFonts w:ascii="Arial"/>
          <w:i/>
          <w:color w:val="231F20"/>
          <w:w w:val="105"/>
        </w:rPr>
        <w:t>in camera</w:t>
      </w:r>
      <w:r>
        <w:rPr>
          <w:rFonts w:ascii="Arial"/>
          <w:i/>
          <w:color w:val="231F20"/>
          <w:spacing w:val="-18"/>
          <w:w w:val="105"/>
        </w:rPr>
        <w:t> </w:t>
      </w:r>
      <w:r>
        <w:rPr>
          <w:color w:val="231F20"/>
          <w:w w:val="105"/>
        </w:rPr>
        <w:t>sessions.</w:t>
      </w:r>
    </w:p>
    <w:p>
      <w:pPr>
        <w:pStyle w:val="BodyText"/>
        <w:spacing w:line="276" w:lineRule="auto"/>
        <w:ind w:left="106" w:right="6860"/>
      </w:pPr>
      <w:r>
        <w:rPr>
          <w:color w:val="231F20"/>
        </w:rPr>
        <w:t>Additional information and control instruments include:</w:t>
      </w:r>
    </w:p>
    <w:p>
      <w:pPr>
        <w:pStyle w:val="ListParagraph"/>
        <w:numPr>
          <w:ilvl w:val="0"/>
          <w:numId w:val="11"/>
        </w:numPr>
        <w:tabs>
          <w:tab w:pos="334" w:val="left" w:leader="none"/>
        </w:tabs>
        <w:spacing w:line="276" w:lineRule="auto" w:before="0" w:after="0"/>
        <w:ind w:left="333" w:right="5832" w:hanging="227"/>
        <w:jc w:val="left"/>
        <w:rPr>
          <w:sz w:val="18"/>
        </w:rPr>
      </w:pPr>
      <w:r>
        <w:rPr>
          <w:color w:val="231F20"/>
          <w:sz w:val="18"/>
        </w:rPr>
        <w:t>The external auditors, KPMG (auditors of Nestlé S.A. and  of the Consolidated Financial Statements of the Nestlé Group), who conduct their audit in compliance with Swiss law and in accordance with Swiss Auditing Standards and with International Standards on</w:t>
      </w:r>
      <w:r>
        <w:rPr>
          <w:color w:val="231F20"/>
          <w:spacing w:val="-22"/>
          <w:sz w:val="18"/>
        </w:rPr>
        <w:t> </w:t>
      </w:r>
      <w:r>
        <w:rPr>
          <w:color w:val="231F20"/>
          <w:sz w:val="18"/>
        </w:rPr>
        <w:t>Auditing.</w:t>
      </w:r>
    </w:p>
    <w:p>
      <w:pPr>
        <w:pStyle w:val="ListParagraph"/>
        <w:numPr>
          <w:ilvl w:val="0"/>
          <w:numId w:val="11"/>
        </w:numPr>
        <w:tabs>
          <w:tab w:pos="334" w:val="left" w:leader="none"/>
        </w:tabs>
        <w:spacing w:line="276" w:lineRule="auto" w:before="0" w:after="0"/>
        <w:ind w:left="333" w:right="5986" w:hanging="227"/>
        <w:jc w:val="left"/>
        <w:rPr>
          <w:sz w:val="18"/>
        </w:rPr>
      </w:pPr>
      <w:r>
        <w:rPr>
          <w:color w:val="231F20"/>
          <w:sz w:val="18"/>
        </w:rPr>
        <w:t>The Nestlé Group and Market Audit function, the corporate internal auditors, which has a direct link to</w:t>
      </w:r>
      <w:r>
        <w:rPr>
          <w:color w:val="231F20"/>
          <w:spacing w:val="-34"/>
          <w:sz w:val="18"/>
        </w:rPr>
        <w:t> </w:t>
      </w:r>
      <w:r>
        <w:rPr>
          <w:color w:val="231F20"/>
          <w:sz w:val="18"/>
        </w:rPr>
        <w:t>the Audit Committee. It comprises a unit of international auditors who travel worldwide, completing audit assignments.</w:t>
      </w:r>
    </w:p>
    <w:p>
      <w:pPr>
        <w:pStyle w:val="ListParagraph"/>
        <w:numPr>
          <w:ilvl w:val="0"/>
          <w:numId w:val="11"/>
        </w:numPr>
        <w:tabs>
          <w:tab w:pos="334" w:val="left" w:leader="none"/>
        </w:tabs>
        <w:spacing w:line="276" w:lineRule="auto" w:before="0" w:after="0"/>
        <w:ind w:left="333" w:right="5844" w:hanging="227"/>
        <w:jc w:val="left"/>
        <w:rPr>
          <w:sz w:val="18"/>
        </w:rPr>
      </w:pPr>
      <w:r>
        <w:rPr>
          <w:color w:val="231F20"/>
          <w:sz w:val="18"/>
        </w:rPr>
        <w:t>Group Risk Services, the corporate risk management unit, providing assistance to all corporate entities with regard  to risk management, loss prevention, claims handling and insurance. A top-level risk assessment is performed once   a year for all businesses. For more information, please refer to Note </w:t>
      </w:r>
      <w:r>
        <w:rPr>
          <w:color w:val="231F20"/>
          <w:spacing w:val="-3"/>
          <w:sz w:val="18"/>
        </w:rPr>
        <w:t>24 </w:t>
      </w:r>
      <w:r>
        <w:rPr>
          <w:color w:val="231F20"/>
          <w:sz w:val="18"/>
        </w:rPr>
        <w:t>of the Consolidated Financial Statements of the Nestlé Group</w:t>
      </w:r>
      <w:r>
        <w:rPr>
          <w:color w:val="231F20"/>
          <w:spacing w:val="-28"/>
          <w:sz w:val="18"/>
        </w:rPr>
        <w:t> </w:t>
      </w:r>
      <w:r>
        <w:rPr>
          <w:color w:val="231F20"/>
          <w:spacing w:val="-4"/>
          <w:sz w:val="18"/>
        </w:rPr>
        <w:t>2013.</w:t>
      </w:r>
    </w:p>
    <w:p>
      <w:pPr>
        <w:pStyle w:val="ListParagraph"/>
        <w:numPr>
          <w:ilvl w:val="0"/>
          <w:numId w:val="11"/>
        </w:numPr>
        <w:tabs>
          <w:tab w:pos="334" w:val="left" w:leader="none"/>
        </w:tabs>
        <w:spacing w:line="276" w:lineRule="auto" w:before="0" w:after="0"/>
        <w:ind w:left="333" w:right="5897" w:hanging="227"/>
        <w:jc w:val="left"/>
        <w:rPr>
          <w:sz w:val="18"/>
        </w:rPr>
      </w:pPr>
      <w:r>
        <w:rPr>
          <w:color w:val="231F20"/>
          <w:sz w:val="18"/>
        </w:rPr>
        <w:t>Group Compliance and other risk and control-related functions provide additional guidance and oversight. Risk and compliance activities are regularly co-ordinated through the Group Compliance Committee to</w:t>
      </w:r>
      <w:r>
        <w:rPr>
          <w:color w:val="231F20"/>
          <w:spacing w:val="19"/>
          <w:sz w:val="18"/>
        </w:rPr>
        <w:t> </w:t>
      </w:r>
      <w:r>
        <w:rPr>
          <w:color w:val="231F20"/>
          <w:sz w:val="18"/>
        </w:rPr>
        <w:t>ensure</w:t>
      </w:r>
    </w:p>
    <w:p>
      <w:pPr>
        <w:pStyle w:val="BodyText"/>
        <w:spacing w:line="276" w:lineRule="auto"/>
        <w:ind w:left="333" w:right="5971"/>
      </w:pPr>
      <w:r>
        <w:rPr>
          <w:color w:val="231F20"/>
        </w:rPr>
        <w:t>a holistic, entity-wide approach. For more information, please refer to page 8 of the Annual Report 2013.</w:t>
      </w:r>
    </w:p>
    <w:p>
      <w:pPr>
        <w:spacing w:after="0" w:line="276" w:lineRule="auto"/>
        <w:sectPr>
          <w:pgSz w:w="11910" w:h="14750"/>
          <w:pgMar w:header="642" w:footer="509" w:top="840" w:bottom="700" w:left="460" w:right="460"/>
        </w:sectPr>
      </w:pPr>
    </w:p>
    <w:p>
      <w:pPr>
        <w:pStyle w:val="Heading2"/>
        <w:ind w:left="560"/>
      </w:pPr>
      <w:bookmarkStart w:name="Executive Board" w:id="6"/>
      <w:bookmarkEnd w:id="6"/>
      <w:r>
        <w:rPr/>
      </w:r>
      <w:r>
        <w:rPr>
          <w:color w:val="0083CA"/>
        </w:rPr>
        <w:t>Executive Board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6"/>
        </w:rPr>
      </w:pPr>
      <w:r>
        <w:rPr/>
        <w:pict>
          <v:line style="position:absolute;mso-position-horizontal-relative:page;mso-position-vertical-relative:paragraph;z-index:-112;mso-wrap-distance-left:0;mso-wrap-distance-right:0" from="51.023602pt,11.681871pt" to="171.495602pt,11.681871pt" stroked="true" strokeweight=".25pt" strokecolor="#231f20">
            <v:stroke dashstyle="solid"/>
            <w10:wrap type="topAndBottom"/>
          </v:line>
        </w:pict>
      </w:r>
      <w:r>
        <w:rPr/>
        <w:pict>
          <v:line style="position:absolute;mso-position-horizontal-relative:page;mso-position-vertical-relative:paragraph;z-index:-88;mso-wrap-distance-left:0;mso-wrap-distance-right:0" from="182.835007pt,11.681871pt" to="303.307007pt,11.681871pt" stroked="true" strokeweight=".25pt" strokecolor="#231f20">
            <v:stroke dashstyle="solid"/>
            <w10:wrap type="topAndBottom"/>
          </v:line>
        </w:pict>
      </w:r>
      <w:r>
        <w:rPr/>
        <w:pict>
          <v:line style="position:absolute;mso-position-horizontal-relative:page;mso-position-vertical-relative:paragraph;z-index:-64;mso-wrap-distance-left:0;mso-wrap-distance-right:0" from="314.645996pt,11.681871pt" to="435.117996pt,11.681871pt" stroked="true" strokeweight=".25pt" strokecolor="#231f20">
            <v:stroke dashstyle="solid"/>
            <w10:wrap type="topAndBottom"/>
          </v:line>
        </w:pict>
      </w:r>
      <w:r>
        <w:rPr/>
        <w:pict>
          <v:line style="position:absolute;mso-position-horizontal-relative:page;mso-position-vertical-relative:paragraph;z-index:-40;mso-wrap-distance-left:0;mso-wrap-distance-right:0" from="446.457001pt,11.681871pt" to="566.929001pt,11.681871pt" stroked="true" strokeweight=".25pt" strokecolor="#231f20">
            <v:stroke dashstyle="solid"/>
            <w10:wrap type="topAndBottom"/>
          </v:line>
        </w:pict>
      </w:r>
    </w:p>
    <w:p>
      <w:pPr>
        <w:pStyle w:val="BodyText"/>
        <w:spacing w:before="5"/>
        <w:rPr>
          <w:sz w:val="14"/>
        </w:rPr>
      </w:pPr>
    </w:p>
    <w:p>
      <w:pPr>
        <w:pStyle w:val="Heading3"/>
        <w:numPr>
          <w:ilvl w:val="0"/>
          <w:numId w:val="2"/>
        </w:numPr>
        <w:tabs>
          <w:tab w:pos="1014" w:val="left" w:leader="none"/>
          <w:tab w:pos="1015" w:val="left" w:leader="none"/>
        </w:tabs>
        <w:spacing w:line="240" w:lineRule="auto" w:before="109" w:after="0"/>
        <w:ind w:left="1014" w:right="0" w:hanging="454"/>
        <w:jc w:val="left"/>
      </w:pPr>
      <w:r>
        <w:rPr>
          <w:color w:val="231F20"/>
          <w:w w:val="110"/>
        </w:rPr>
        <w:t>Executive</w:t>
      </w:r>
      <w:r>
        <w:rPr>
          <w:color w:val="231F20"/>
          <w:spacing w:val="-8"/>
          <w:w w:val="110"/>
        </w:rPr>
        <w:t> </w:t>
      </w:r>
      <w:r>
        <w:rPr>
          <w:color w:val="231F20"/>
          <w:w w:val="110"/>
        </w:rPr>
        <w:t>Board</w:t>
      </w:r>
    </w:p>
    <w:p>
      <w:pPr>
        <w:pStyle w:val="ListParagraph"/>
        <w:numPr>
          <w:ilvl w:val="1"/>
          <w:numId w:val="2"/>
        </w:numPr>
        <w:tabs>
          <w:tab w:pos="1015" w:val="left" w:leader="none"/>
        </w:tabs>
        <w:spacing w:line="240" w:lineRule="auto" w:before="31" w:after="0"/>
        <w:ind w:left="560" w:right="0" w:firstLine="0"/>
        <w:jc w:val="left"/>
        <w:rPr>
          <w:b/>
          <w:sz w:val="18"/>
        </w:rPr>
      </w:pPr>
      <w:r>
        <w:rPr>
          <w:b/>
          <w:color w:val="586670"/>
          <w:w w:val="110"/>
          <w:sz w:val="18"/>
        </w:rPr>
        <w:t>Members of the Executive</w:t>
      </w:r>
      <w:r>
        <w:rPr>
          <w:b/>
          <w:color w:val="586670"/>
          <w:spacing w:val="-29"/>
          <w:w w:val="110"/>
          <w:sz w:val="18"/>
        </w:rPr>
        <w:t> </w:t>
      </w:r>
      <w:r>
        <w:rPr>
          <w:b/>
          <w:color w:val="586670"/>
          <w:w w:val="110"/>
          <w:sz w:val="18"/>
        </w:rPr>
        <w:t>Board</w:t>
      </w:r>
    </w:p>
    <w:p>
      <w:pPr>
        <w:pStyle w:val="BodyText"/>
        <w:rPr>
          <w:b/>
          <w:sz w:val="20"/>
        </w:rPr>
      </w:pPr>
    </w:p>
    <w:p>
      <w:pPr>
        <w:pStyle w:val="BodyText"/>
        <w:spacing w:before="10"/>
        <w:rPr>
          <w:b/>
        </w:rPr>
      </w:pPr>
      <w:r>
        <w:rPr/>
        <w:pict>
          <v:line style="position:absolute;mso-position-horizontal-relative:page;mso-position-vertical-relative:paragraph;z-index:-16;mso-wrap-distance-left:0;mso-wrap-distance-right:0" from="51.023602pt,13.061352pt" to="566.929602pt,13.061352pt" stroked="true" strokeweight=".25pt" strokecolor="#231f20">
            <v:stroke dashstyle="solid"/>
            <w10:wrap type="topAndBottom"/>
          </v:line>
        </w:pict>
      </w:r>
    </w:p>
    <w:p>
      <w:pPr>
        <w:pStyle w:val="BodyText"/>
        <w:spacing w:before="8"/>
        <w:rPr>
          <w:b/>
          <w:sz w:val="21"/>
        </w:rPr>
      </w:pPr>
    </w:p>
    <w:tbl>
      <w:tblPr>
        <w:tblW w:w="0" w:type="auto"/>
        <w:jc w:val="left"/>
        <w:tblInd w:w="5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72"/>
        <w:gridCol w:w="1238"/>
        <w:gridCol w:w="1274"/>
        <w:gridCol w:w="5335"/>
      </w:tblGrid>
      <w:tr>
        <w:trPr>
          <w:trHeight w:val="192" w:hRule="atLeast"/>
        </w:trPr>
        <w:tc>
          <w:tcPr>
            <w:tcW w:w="2472" w:type="dxa"/>
            <w:tcBorders>
              <w:bottom w:val="single" w:sz="2" w:space="0" w:color="231F20"/>
            </w:tcBorders>
          </w:tcPr>
          <w:p>
            <w:pPr>
              <w:pStyle w:val="TableParagraph"/>
              <w:spacing w:before="1"/>
              <w:rPr>
                <w:sz w:val="15"/>
              </w:rPr>
            </w:pPr>
            <w:r>
              <w:rPr>
                <w:color w:val="231F20"/>
                <w:w w:val="105"/>
                <w:sz w:val="15"/>
              </w:rPr>
              <w:t>Name</w:t>
            </w:r>
          </w:p>
        </w:tc>
        <w:tc>
          <w:tcPr>
            <w:tcW w:w="1238" w:type="dxa"/>
            <w:tcBorders>
              <w:bottom w:val="single" w:sz="2" w:space="0" w:color="231F20"/>
            </w:tcBorders>
          </w:tcPr>
          <w:p>
            <w:pPr>
              <w:pStyle w:val="TableParagraph"/>
              <w:spacing w:before="1"/>
              <w:ind w:left="164"/>
              <w:rPr>
                <w:sz w:val="15"/>
              </w:rPr>
            </w:pPr>
            <w:r>
              <w:rPr>
                <w:color w:val="231F20"/>
                <w:sz w:val="15"/>
              </w:rPr>
              <w:t>Year of birth</w:t>
            </w:r>
          </w:p>
        </w:tc>
        <w:tc>
          <w:tcPr>
            <w:tcW w:w="1274" w:type="dxa"/>
            <w:tcBorders>
              <w:bottom w:val="single" w:sz="2" w:space="0" w:color="231F20"/>
            </w:tcBorders>
          </w:tcPr>
          <w:p>
            <w:pPr>
              <w:pStyle w:val="TableParagraph"/>
              <w:spacing w:before="1"/>
              <w:ind w:left="244"/>
              <w:rPr>
                <w:sz w:val="15"/>
              </w:rPr>
            </w:pPr>
            <w:r>
              <w:rPr>
                <w:color w:val="231F20"/>
                <w:sz w:val="15"/>
              </w:rPr>
              <w:t>Nationality</w:t>
            </w:r>
          </w:p>
        </w:tc>
        <w:tc>
          <w:tcPr>
            <w:tcW w:w="5335" w:type="dxa"/>
            <w:tcBorders>
              <w:bottom w:val="single" w:sz="2" w:space="0" w:color="231F20"/>
            </w:tcBorders>
          </w:tcPr>
          <w:p>
            <w:pPr>
              <w:pStyle w:val="TableParagraph"/>
              <w:spacing w:before="1"/>
              <w:ind w:left="288"/>
              <w:rPr>
                <w:sz w:val="15"/>
              </w:rPr>
            </w:pPr>
            <w:r>
              <w:rPr>
                <w:color w:val="231F20"/>
                <w:w w:val="112"/>
                <w:sz w:val="15"/>
              </w:rPr>
              <w:t>E</w:t>
            </w:r>
            <w:r>
              <w:rPr>
                <w:color w:val="231F20"/>
                <w:w w:val="104"/>
                <w:sz w:val="15"/>
              </w:rPr>
              <w:t>d</w:t>
            </w:r>
            <w:r>
              <w:rPr>
                <w:color w:val="231F20"/>
                <w:spacing w:val="2"/>
                <w:w w:val="105"/>
                <w:sz w:val="15"/>
              </w:rPr>
              <w:t>u</w:t>
            </w:r>
            <w:r>
              <w:rPr>
                <w:color w:val="231F20"/>
                <w:spacing w:val="5"/>
                <w:w w:val="105"/>
                <w:sz w:val="15"/>
              </w:rPr>
              <w:t>c</w:t>
            </w:r>
            <w:r>
              <w:rPr>
                <w:color w:val="231F20"/>
                <w:spacing w:val="1"/>
                <w:w w:val="98"/>
                <w:sz w:val="15"/>
              </w:rPr>
              <w:t>a</w:t>
            </w:r>
            <w:r>
              <w:rPr>
                <w:color w:val="231F20"/>
                <w:spacing w:val="1"/>
                <w:w w:val="81"/>
                <w:sz w:val="15"/>
              </w:rPr>
              <w:t>ti</w:t>
            </w:r>
            <w:r>
              <w:rPr>
                <w:color w:val="231F20"/>
                <w:spacing w:val="2"/>
                <w:w w:val="105"/>
                <w:sz w:val="15"/>
              </w:rPr>
              <w:t>o</w:t>
            </w:r>
            <w:r>
              <w:rPr>
                <w:color w:val="231F20"/>
                <w:spacing w:val="4"/>
                <w:w w:val="105"/>
                <w:sz w:val="15"/>
              </w:rPr>
              <w:t>n</w:t>
            </w:r>
            <w:r>
              <w:rPr>
                <w:color w:val="231F20"/>
                <w:spacing w:val="1"/>
                <w:w w:val="55"/>
                <w:sz w:val="15"/>
              </w:rPr>
              <w:t>/</w:t>
            </w:r>
            <w:r>
              <w:rPr>
                <w:color w:val="231F20"/>
                <w:w w:val="111"/>
                <w:sz w:val="15"/>
              </w:rPr>
              <w:t>C</w:t>
            </w:r>
            <w:r>
              <w:rPr>
                <w:color w:val="231F20"/>
                <w:spacing w:val="1"/>
                <w:w w:val="105"/>
                <w:sz w:val="15"/>
              </w:rPr>
              <w:t>u</w:t>
            </w:r>
            <w:r>
              <w:rPr>
                <w:color w:val="231F20"/>
                <w:spacing w:val="3"/>
                <w:w w:val="88"/>
                <w:sz w:val="15"/>
              </w:rPr>
              <w:t>r</w:t>
            </w:r>
            <w:r>
              <w:rPr>
                <w:color w:val="231F20"/>
                <w:spacing w:val="1"/>
                <w:w w:val="88"/>
                <w:sz w:val="15"/>
              </w:rPr>
              <w:t>r</w:t>
            </w:r>
            <w:r>
              <w:rPr>
                <w:color w:val="231F20"/>
                <w:spacing w:val="2"/>
                <w:w w:val="97"/>
                <w:sz w:val="15"/>
              </w:rPr>
              <w:t>e</w:t>
            </w:r>
            <w:r>
              <w:rPr>
                <w:color w:val="231F20"/>
                <w:w w:val="105"/>
                <w:sz w:val="15"/>
              </w:rPr>
              <w:t>n</w:t>
            </w:r>
            <w:r>
              <w:rPr>
                <w:color w:val="231F20"/>
                <w:w w:val="81"/>
                <w:sz w:val="15"/>
              </w:rPr>
              <w:t>t</w:t>
            </w:r>
            <w:r>
              <w:rPr>
                <w:color w:val="231F20"/>
                <w:spacing w:val="-8"/>
                <w:sz w:val="15"/>
              </w:rPr>
              <w:t> </w:t>
            </w:r>
            <w:r>
              <w:rPr>
                <w:color w:val="231F20"/>
                <w:spacing w:val="2"/>
                <w:w w:val="97"/>
                <w:sz w:val="15"/>
              </w:rPr>
              <w:t>f</w:t>
            </w:r>
            <w:r>
              <w:rPr>
                <w:color w:val="231F20"/>
                <w:spacing w:val="1"/>
                <w:w w:val="97"/>
                <w:sz w:val="15"/>
              </w:rPr>
              <w:t>u</w:t>
            </w:r>
            <w:r>
              <w:rPr>
                <w:color w:val="231F20"/>
                <w:spacing w:val="2"/>
                <w:w w:val="105"/>
                <w:sz w:val="15"/>
              </w:rPr>
              <w:t>n</w:t>
            </w:r>
            <w:r>
              <w:rPr>
                <w:color w:val="231F20"/>
                <w:spacing w:val="3"/>
                <w:w w:val="105"/>
                <w:sz w:val="15"/>
              </w:rPr>
              <w:t>c</w:t>
            </w:r>
            <w:r>
              <w:rPr>
                <w:color w:val="231F20"/>
                <w:spacing w:val="1"/>
                <w:w w:val="81"/>
                <w:sz w:val="15"/>
              </w:rPr>
              <w:t>ti</w:t>
            </w:r>
            <w:r>
              <w:rPr>
                <w:color w:val="231F20"/>
                <w:spacing w:val="2"/>
                <w:w w:val="105"/>
                <w:sz w:val="15"/>
              </w:rPr>
              <w:t>on</w:t>
            </w:r>
          </w:p>
        </w:tc>
      </w:tr>
      <w:tr>
        <w:trPr>
          <w:trHeight w:val="216" w:hRule="atLeast"/>
        </w:trPr>
        <w:tc>
          <w:tcPr>
            <w:tcW w:w="2472" w:type="dxa"/>
            <w:tcBorders>
              <w:top w:val="single" w:sz="2" w:space="0" w:color="231F20"/>
            </w:tcBorders>
          </w:tcPr>
          <w:p>
            <w:pPr>
              <w:pStyle w:val="TableParagraph"/>
              <w:spacing w:line="156" w:lineRule="exact" w:before="40"/>
              <w:rPr>
                <w:sz w:val="15"/>
              </w:rPr>
            </w:pPr>
            <w:r>
              <w:rPr>
                <w:color w:val="231F20"/>
                <w:sz w:val="15"/>
              </w:rPr>
              <w:t>Paul Bulcke</w:t>
            </w:r>
          </w:p>
        </w:tc>
        <w:tc>
          <w:tcPr>
            <w:tcW w:w="1238" w:type="dxa"/>
            <w:tcBorders>
              <w:top w:val="single" w:sz="2" w:space="0" w:color="231F20"/>
            </w:tcBorders>
          </w:tcPr>
          <w:p>
            <w:pPr>
              <w:pStyle w:val="TableParagraph"/>
              <w:spacing w:line="156" w:lineRule="exact" w:before="40"/>
              <w:ind w:left="164"/>
              <w:rPr>
                <w:sz w:val="15"/>
              </w:rPr>
            </w:pPr>
            <w:r>
              <w:rPr>
                <w:color w:val="231F20"/>
                <w:w w:val="105"/>
                <w:sz w:val="15"/>
              </w:rPr>
              <w:t>1954</w:t>
            </w:r>
          </w:p>
        </w:tc>
        <w:tc>
          <w:tcPr>
            <w:tcW w:w="1274" w:type="dxa"/>
            <w:tcBorders>
              <w:top w:val="single" w:sz="2" w:space="0" w:color="231F20"/>
            </w:tcBorders>
          </w:tcPr>
          <w:p>
            <w:pPr>
              <w:pStyle w:val="TableParagraph"/>
              <w:spacing w:line="156" w:lineRule="exact" w:before="40"/>
              <w:ind w:left="244"/>
              <w:rPr>
                <w:sz w:val="15"/>
              </w:rPr>
            </w:pPr>
            <w:r>
              <w:rPr>
                <w:color w:val="231F20"/>
                <w:sz w:val="15"/>
              </w:rPr>
              <w:t>Belgian</w:t>
            </w:r>
          </w:p>
        </w:tc>
        <w:tc>
          <w:tcPr>
            <w:tcW w:w="5335" w:type="dxa"/>
            <w:tcBorders>
              <w:top w:val="single" w:sz="2" w:space="0" w:color="231F20"/>
            </w:tcBorders>
          </w:tcPr>
          <w:p>
            <w:pPr>
              <w:pStyle w:val="TableParagraph"/>
              <w:spacing w:line="156" w:lineRule="exact" w:before="40"/>
              <w:ind w:left="288"/>
              <w:rPr>
                <w:sz w:val="15"/>
              </w:rPr>
            </w:pPr>
            <w:r>
              <w:rPr>
                <w:color w:val="231F20"/>
                <w:w w:val="105"/>
                <w:sz w:val="15"/>
              </w:rPr>
              <w:t>Economics and Business Administration</w:t>
            </w:r>
          </w:p>
        </w:tc>
      </w:tr>
      <w:tr>
        <w:trPr>
          <w:trHeight w:val="258"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w w:val="110"/>
                <w:sz w:val="15"/>
              </w:rPr>
              <w:t>CEO</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sz w:val="15"/>
              </w:rPr>
              <w:t>Luis Cantarell</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1952</w:t>
            </w:r>
          </w:p>
        </w:tc>
        <w:tc>
          <w:tcPr>
            <w:tcW w:w="1274" w:type="dxa"/>
            <w:tcBorders>
              <w:top w:val="single" w:sz="2" w:space="0" w:color="8F999F"/>
            </w:tcBorders>
          </w:tcPr>
          <w:p>
            <w:pPr>
              <w:pStyle w:val="TableParagraph"/>
              <w:spacing w:line="156" w:lineRule="exact" w:before="34"/>
              <w:ind w:left="244"/>
              <w:rPr>
                <w:sz w:val="15"/>
              </w:rPr>
            </w:pPr>
            <w:r>
              <w:rPr>
                <w:color w:val="231F20"/>
                <w:w w:val="105"/>
                <w:sz w:val="15"/>
              </w:rPr>
              <w:t>Spanish</w:t>
            </w:r>
          </w:p>
        </w:tc>
        <w:tc>
          <w:tcPr>
            <w:tcW w:w="5335" w:type="dxa"/>
            <w:tcBorders>
              <w:top w:val="single" w:sz="2" w:space="0" w:color="8F999F"/>
            </w:tcBorders>
          </w:tcPr>
          <w:p>
            <w:pPr>
              <w:pStyle w:val="TableParagraph"/>
              <w:spacing w:line="156" w:lineRule="exact" w:before="34"/>
              <w:ind w:left="288"/>
              <w:rPr>
                <w:sz w:val="15"/>
              </w:rPr>
            </w:pPr>
            <w:r>
              <w:rPr>
                <w:color w:val="231F20"/>
                <w:w w:val="105"/>
                <w:sz w:val="15"/>
              </w:rPr>
              <w:t>Economics</w:t>
            </w:r>
          </w:p>
        </w:tc>
      </w:tr>
      <w:tr>
        <w:trPr>
          <w:trHeight w:val="180" w:hRule="atLeast"/>
        </w:trPr>
        <w:tc>
          <w:tcPr>
            <w:tcW w:w="2472" w:type="dxa"/>
          </w:tcPr>
          <w:p>
            <w:pPr>
              <w:pStyle w:val="TableParagraph"/>
              <w:spacing w:line="240" w:lineRule="auto" w:before="0"/>
              <w:rPr>
                <w:rFonts w:ascii="Times New Roman"/>
                <w:sz w:val="12"/>
              </w:rPr>
            </w:pPr>
          </w:p>
        </w:tc>
        <w:tc>
          <w:tcPr>
            <w:tcW w:w="1238" w:type="dxa"/>
          </w:tcPr>
          <w:p>
            <w:pPr>
              <w:pStyle w:val="TableParagraph"/>
              <w:spacing w:line="240" w:lineRule="auto" w:before="0"/>
              <w:rPr>
                <w:rFonts w:ascii="Times New Roman"/>
                <w:sz w:val="12"/>
              </w:rPr>
            </w:pPr>
          </w:p>
        </w:tc>
        <w:tc>
          <w:tcPr>
            <w:tcW w:w="1274" w:type="dxa"/>
          </w:tcPr>
          <w:p>
            <w:pPr>
              <w:pStyle w:val="TableParagraph"/>
              <w:spacing w:line="240" w:lineRule="auto" w:before="0"/>
              <w:rPr>
                <w:rFonts w:ascii="Times New Roman"/>
                <w:sz w:val="12"/>
              </w:rPr>
            </w:pPr>
          </w:p>
        </w:tc>
        <w:tc>
          <w:tcPr>
            <w:tcW w:w="5335" w:type="dxa"/>
          </w:tcPr>
          <w:p>
            <w:pPr>
              <w:pStyle w:val="TableParagraph"/>
              <w:spacing w:line="156" w:lineRule="exact" w:before="3"/>
              <w:ind w:left="288"/>
              <w:rPr>
                <w:sz w:val="15"/>
              </w:rPr>
            </w:pPr>
            <w:r>
              <w:rPr>
                <w:color w:val="231F20"/>
                <w:sz w:val="15"/>
              </w:rPr>
              <w:t>EVP: Nestlé Nutrition,</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sz w:val="15"/>
              </w:rPr>
              <w:t>President and CEO Nestlé Health Science S.A.</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w w:val="105"/>
                <w:sz w:val="15"/>
              </w:rPr>
              <w:t>José Lopez</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1952</w:t>
            </w:r>
          </w:p>
        </w:tc>
        <w:tc>
          <w:tcPr>
            <w:tcW w:w="1274" w:type="dxa"/>
            <w:tcBorders>
              <w:top w:val="single" w:sz="2" w:space="0" w:color="8F999F"/>
            </w:tcBorders>
          </w:tcPr>
          <w:p>
            <w:pPr>
              <w:pStyle w:val="TableParagraph"/>
              <w:spacing w:line="156" w:lineRule="exact" w:before="34"/>
              <w:ind w:left="244"/>
              <w:rPr>
                <w:sz w:val="15"/>
              </w:rPr>
            </w:pPr>
            <w:r>
              <w:rPr>
                <w:color w:val="231F20"/>
                <w:w w:val="105"/>
                <w:sz w:val="15"/>
              </w:rPr>
              <w:t>Spanish</w:t>
            </w:r>
          </w:p>
        </w:tc>
        <w:tc>
          <w:tcPr>
            <w:tcW w:w="5335" w:type="dxa"/>
            <w:tcBorders>
              <w:top w:val="single" w:sz="2" w:space="0" w:color="8F999F"/>
            </w:tcBorders>
          </w:tcPr>
          <w:p>
            <w:pPr>
              <w:pStyle w:val="TableParagraph"/>
              <w:spacing w:line="156" w:lineRule="exact" w:before="34"/>
              <w:ind w:left="288"/>
              <w:rPr>
                <w:sz w:val="15"/>
              </w:rPr>
            </w:pPr>
            <w:r>
              <w:rPr>
                <w:color w:val="231F20"/>
                <w:sz w:val="15"/>
              </w:rPr>
              <w:t>Mechanical Engineering</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sz w:val="15"/>
              </w:rPr>
              <w:t>EVP: Operations, GLOBE</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sz w:val="15"/>
              </w:rPr>
              <w:t>Laurent Freixe</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1962</w:t>
            </w:r>
          </w:p>
        </w:tc>
        <w:tc>
          <w:tcPr>
            <w:tcW w:w="1274" w:type="dxa"/>
            <w:tcBorders>
              <w:top w:val="single" w:sz="2" w:space="0" w:color="8F999F"/>
            </w:tcBorders>
          </w:tcPr>
          <w:p>
            <w:pPr>
              <w:pStyle w:val="TableParagraph"/>
              <w:spacing w:line="156" w:lineRule="exact" w:before="34"/>
              <w:ind w:left="244"/>
              <w:rPr>
                <w:sz w:val="15"/>
              </w:rPr>
            </w:pPr>
            <w:r>
              <w:rPr>
                <w:color w:val="231F20"/>
                <w:sz w:val="15"/>
              </w:rPr>
              <w:t>French</w:t>
            </w:r>
          </w:p>
        </w:tc>
        <w:tc>
          <w:tcPr>
            <w:tcW w:w="5335" w:type="dxa"/>
            <w:tcBorders>
              <w:top w:val="single" w:sz="2" w:space="0" w:color="8F999F"/>
            </w:tcBorders>
          </w:tcPr>
          <w:p>
            <w:pPr>
              <w:pStyle w:val="TableParagraph"/>
              <w:spacing w:line="156" w:lineRule="exact" w:before="34"/>
              <w:ind w:left="288"/>
              <w:rPr>
                <w:sz w:val="15"/>
              </w:rPr>
            </w:pPr>
            <w:r>
              <w:rPr>
                <w:color w:val="231F20"/>
                <w:sz w:val="15"/>
              </w:rPr>
              <w:t>Business Administration</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w w:val="105"/>
                <w:sz w:val="15"/>
              </w:rPr>
              <w:t>EVP: Zone Europe</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w w:val="105"/>
                <w:sz w:val="15"/>
              </w:rPr>
              <w:t>Chris Johnson</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1961</w:t>
            </w:r>
          </w:p>
        </w:tc>
        <w:tc>
          <w:tcPr>
            <w:tcW w:w="1274" w:type="dxa"/>
            <w:tcBorders>
              <w:top w:val="single" w:sz="2" w:space="0" w:color="8F999F"/>
            </w:tcBorders>
          </w:tcPr>
          <w:p>
            <w:pPr>
              <w:pStyle w:val="TableParagraph"/>
              <w:spacing w:line="156" w:lineRule="exact" w:before="34"/>
              <w:ind w:left="244"/>
              <w:rPr>
                <w:sz w:val="15"/>
              </w:rPr>
            </w:pPr>
            <w:r>
              <w:rPr>
                <w:color w:val="231F20"/>
                <w:sz w:val="15"/>
              </w:rPr>
              <w:t>American</w:t>
            </w:r>
          </w:p>
        </w:tc>
        <w:tc>
          <w:tcPr>
            <w:tcW w:w="5335" w:type="dxa"/>
            <w:tcBorders>
              <w:top w:val="single" w:sz="2" w:space="0" w:color="8F999F"/>
            </w:tcBorders>
          </w:tcPr>
          <w:p>
            <w:pPr>
              <w:pStyle w:val="TableParagraph"/>
              <w:spacing w:line="156" w:lineRule="exact" w:before="34"/>
              <w:ind w:left="288"/>
              <w:rPr>
                <w:sz w:val="15"/>
              </w:rPr>
            </w:pPr>
            <w:r>
              <w:rPr>
                <w:color w:val="231F20"/>
                <w:w w:val="105"/>
                <w:sz w:val="15"/>
              </w:rPr>
              <w:t>Economics and Business Administration</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w w:val="105"/>
                <w:sz w:val="15"/>
              </w:rPr>
              <w:t>EVP: Zone Americas</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sz w:val="15"/>
              </w:rPr>
              <w:t>Patrice Bula</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1956</w:t>
            </w:r>
          </w:p>
        </w:tc>
        <w:tc>
          <w:tcPr>
            <w:tcW w:w="1274" w:type="dxa"/>
            <w:tcBorders>
              <w:top w:val="single" w:sz="2" w:space="0" w:color="8F999F"/>
            </w:tcBorders>
          </w:tcPr>
          <w:p>
            <w:pPr>
              <w:pStyle w:val="TableParagraph"/>
              <w:spacing w:line="156" w:lineRule="exact" w:before="34"/>
              <w:ind w:left="244"/>
              <w:rPr>
                <w:sz w:val="15"/>
              </w:rPr>
            </w:pPr>
            <w:r>
              <w:rPr>
                <w:color w:val="231F20"/>
                <w:w w:val="110"/>
                <w:sz w:val="15"/>
              </w:rPr>
              <w:t>Swiss</w:t>
            </w:r>
          </w:p>
        </w:tc>
        <w:tc>
          <w:tcPr>
            <w:tcW w:w="5335" w:type="dxa"/>
            <w:tcBorders>
              <w:top w:val="single" w:sz="2" w:space="0" w:color="8F999F"/>
            </w:tcBorders>
          </w:tcPr>
          <w:p>
            <w:pPr>
              <w:pStyle w:val="TableParagraph"/>
              <w:spacing w:line="156" w:lineRule="exact" w:before="34"/>
              <w:ind w:left="288"/>
              <w:rPr>
                <w:sz w:val="15"/>
              </w:rPr>
            </w:pPr>
            <w:r>
              <w:rPr>
                <w:color w:val="231F20"/>
                <w:w w:val="105"/>
                <w:sz w:val="15"/>
              </w:rPr>
              <w:t>Economics and Business Administration</w:t>
            </w:r>
          </w:p>
        </w:tc>
      </w:tr>
      <w:tr>
        <w:trPr>
          <w:trHeight w:val="180" w:hRule="atLeast"/>
        </w:trPr>
        <w:tc>
          <w:tcPr>
            <w:tcW w:w="2472" w:type="dxa"/>
          </w:tcPr>
          <w:p>
            <w:pPr>
              <w:pStyle w:val="TableParagraph"/>
              <w:spacing w:line="240" w:lineRule="auto" w:before="0"/>
              <w:rPr>
                <w:rFonts w:ascii="Times New Roman"/>
                <w:sz w:val="12"/>
              </w:rPr>
            </w:pPr>
          </w:p>
        </w:tc>
        <w:tc>
          <w:tcPr>
            <w:tcW w:w="1238" w:type="dxa"/>
          </w:tcPr>
          <w:p>
            <w:pPr>
              <w:pStyle w:val="TableParagraph"/>
              <w:spacing w:line="240" w:lineRule="auto" w:before="0"/>
              <w:rPr>
                <w:rFonts w:ascii="Times New Roman"/>
                <w:sz w:val="12"/>
              </w:rPr>
            </w:pPr>
          </w:p>
        </w:tc>
        <w:tc>
          <w:tcPr>
            <w:tcW w:w="1274" w:type="dxa"/>
          </w:tcPr>
          <w:p>
            <w:pPr>
              <w:pStyle w:val="TableParagraph"/>
              <w:spacing w:line="240" w:lineRule="auto" w:before="0"/>
              <w:rPr>
                <w:rFonts w:ascii="Times New Roman"/>
                <w:sz w:val="12"/>
              </w:rPr>
            </w:pPr>
          </w:p>
        </w:tc>
        <w:tc>
          <w:tcPr>
            <w:tcW w:w="5335" w:type="dxa"/>
          </w:tcPr>
          <w:p>
            <w:pPr>
              <w:pStyle w:val="TableParagraph"/>
              <w:spacing w:line="156" w:lineRule="exact" w:before="3"/>
              <w:ind w:left="288"/>
              <w:rPr>
                <w:sz w:val="15"/>
              </w:rPr>
            </w:pPr>
            <w:r>
              <w:rPr>
                <w:color w:val="231F20"/>
                <w:sz w:val="15"/>
              </w:rPr>
              <w:t>EVP: Strategic Business Units, Marketing,</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w w:val="105"/>
                <w:sz w:val="15"/>
              </w:rPr>
              <w:t>Sales and Nespresso</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sz w:val="15"/>
              </w:rPr>
              <w:t>Doreswamy (Nandu) Nandkishore</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1958</w:t>
            </w:r>
          </w:p>
        </w:tc>
        <w:tc>
          <w:tcPr>
            <w:tcW w:w="1274" w:type="dxa"/>
            <w:tcBorders>
              <w:top w:val="single" w:sz="2" w:space="0" w:color="8F999F"/>
            </w:tcBorders>
          </w:tcPr>
          <w:p>
            <w:pPr>
              <w:pStyle w:val="TableParagraph"/>
              <w:spacing w:line="156" w:lineRule="exact" w:before="34"/>
              <w:ind w:left="244"/>
              <w:rPr>
                <w:sz w:val="15"/>
              </w:rPr>
            </w:pPr>
            <w:r>
              <w:rPr>
                <w:color w:val="231F20"/>
                <w:sz w:val="15"/>
              </w:rPr>
              <w:t>Indian</w:t>
            </w:r>
          </w:p>
        </w:tc>
        <w:tc>
          <w:tcPr>
            <w:tcW w:w="5335" w:type="dxa"/>
            <w:tcBorders>
              <w:top w:val="single" w:sz="2" w:space="0" w:color="8F999F"/>
            </w:tcBorders>
          </w:tcPr>
          <w:p>
            <w:pPr>
              <w:pStyle w:val="TableParagraph"/>
              <w:spacing w:line="156" w:lineRule="exact" w:before="34"/>
              <w:ind w:left="288"/>
              <w:rPr>
                <w:sz w:val="15"/>
              </w:rPr>
            </w:pPr>
            <w:r>
              <w:rPr>
                <w:color w:val="231F20"/>
                <w:sz w:val="15"/>
              </w:rPr>
              <w:t>Electrical Engineering and Postgraduate in Management</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sz w:val="15"/>
              </w:rPr>
              <w:t>EVP: Zone Asia, Oceania and Africa</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w w:val="105"/>
                <w:sz w:val="15"/>
              </w:rPr>
              <w:t>Wan Ling Martello</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1958</w:t>
            </w:r>
          </w:p>
        </w:tc>
        <w:tc>
          <w:tcPr>
            <w:tcW w:w="1274" w:type="dxa"/>
            <w:tcBorders>
              <w:top w:val="single" w:sz="2" w:space="0" w:color="8F999F"/>
            </w:tcBorders>
          </w:tcPr>
          <w:p>
            <w:pPr>
              <w:pStyle w:val="TableParagraph"/>
              <w:spacing w:line="156" w:lineRule="exact" w:before="34"/>
              <w:ind w:left="244"/>
              <w:rPr>
                <w:sz w:val="15"/>
              </w:rPr>
            </w:pPr>
            <w:r>
              <w:rPr>
                <w:color w:val="231F20"/>
                <w:sz w:val="15"/>
              </w:rPr>
              <w:t>American</w:t>
            </w:r>
          </w:p>
        </w:tc>
        <w:tc>
          <w:tcPr>
            <w:tcW w:w="5335" w:type="dxa"/>
            <w:tcBorders>
              <w:top w:val="single" w:sz="2" w:space="0" w:color="8F999F"/>
            </w:tcBorders>
          </w:tcPr>
          <w:p>
            <w:pPr>
              <w:pStyle w:val="TableParagraph"/>
              <w:spacing w:line="156" w:lineRule="exact" w:before="34"/>
              <w:ind w:left="288"/>
              <w:rPr>
                <w:sz w:val="15"/>
              </w:rPr>
            </w:pPr>
            <w:r>
              <w:rPr>
                <w:color w:val="231F20"/>
                <w:sz w:val="15"/>
              </w:rPr>
              <w:t>Business Administration and Accountancy, Postgraduate</w:t>
            </w:r>
          </w:p>
        </w:tc>
      </w:tr>
      <w:tr>
        <w:trPr>
          <w:trHeight w:val="180" w:hRule="atLeast"/>
        </w:trPr>
        <w:tc>
          <w:tcPr>
            <w:tcW w:w="2472" w:type="dxa"/>
          </w:tcPr>
          <w:p>
            <w:pPr>
              <w:pStyle w:val="TableParagraph"/>
              <w:spacing w:line="240" w:lineRule="auto" w:before="0"/>
              <w:rPr>
                <w:rFonts w:ascii="Times New Roman"/>
                <w:sz w:val="12"/>
              </w:rPr>
            </w:pPr>
          </w:p>
        </w:tc>
        <w:tc>
          <w:tcPr>
            <w:tcW w:w="1238" w:type="dxa"/>
          </w:tcPr>
          <w:p>
            <w:pPr>
              <w:pStyle w:val="TableParagraph"/>
              <w:spacing w:line="240" w:lineRule="auto" w:before="0"/>
              <w:rPr>
                <w:rFonts w:ascii="Times New Roman"/>
                <w:sz w:val="12"/>
              </w:rPr>
            </w:pPr>
          </w:p>
        </w:tc>
        <w:tc>
          <w:tcPr>
            <w:tcW w:w="1274" w:type="dxa"/>
          </w:tcPr>
          <w:p>
            <w:pPr>
              <w:pStyle w:val="TableParagraph"/>
              <w:spacing w:line="240" w:lineRule="auto" w:before="0"/>
              <w:rPr>
                <w:rFonts w:ascii="Times New Roman"/>
                <w:sz w:val="12"/>
              </w:rPr>
            </w:pPr>
          </w:p>
        </w:tc>
        <w:tc>
          <w:tcPr>
            <w:tcW w:w="5335" w:type="dxa"/>
          </w:tcPr>
          <w:p>
            <w:pPr>
              <w:pStyle w:val="TableParagraph"/>
              <w:spacing w:line="156" w:lineRule="exact" w:before="3"/>
              <w:ind w:left="288"/>
              <w:rPr>
                <w:sz w:val="15"/>
              </w:rPr>
            </w:pPr>
            <w:r>
              <w:rPr>
                <w:color w:val="231F20"/>
                <w:sz w:val="15"/>
              </w:rPr>
              <w:t>in Management Information Systems</w:t>
            </w:r>
          </w:p>
        </w:tc>
      </w:tr>
      <w:tr>
        <w:trPr>
          <w:trHeight w:val="180" w:hRule="atLeast"/>
        </w:trPr>
        <w:tc>
          <w:tcPr>
            <w:tcW w:w="2472" w:type="dxa"/>
          </w:tcPr>
          <w:p>
            <w:pPr>
              <w:pStyle w:val="TableParagraph"/>
              <w:spacing w:line="240" w:lineRule="auto" w:before="0"/>
              <w:rPr>
                <w:rFonts w:ascii="Times New Roman"/>
                <w:sz w:val="12"/>
              </w:rPr>
            </w:pPr>
          </w:p>
        </w:tc>
        <w:tc>
          <w:tcPr>
            <w:tcW w:w="1238" w:type="dxa"/>
          </w:tcPr>
          <w:p>
            <w:pPr>
              <w:pStyle w:val="TableParagraph"/>
              <w:spacing w:line="240" w:lineRule="auto" w:before="0"/>
              <w:rPr>
                <w:rFonts w:ascii="Times New Roman"/>
                <w:sz w:val="12"/>
              </w:rPr>
            </w:pPr>
          </w:p>
        </w:tc>
        <w:tc>
          <w:tcPr>
            <w:tcW w:w="1274" w:type="dxa"/>
          </w:tcPr>
          <w:p>
            <w:pPr>
              <w:pStyle w:val="TableParagraph"/>
              <w:spacing w:line="240" w:lineRule="auto" w:before="0"/>
              <w:rPr>
                <w:rFonts w:ascii="Times New Roman"/>
                <w:sz w:val="12"/>
              </w:rPr>
            </w:pPr>
          </w:p>
        </w:tc>
        <w:tc>
          <w:tcPr>
            <w:tcW w:w="5335" w:type="dxa"/>
          </w:tcPr>
          <w:p>
            <w:pPr>
              <w:pStyle w:val="TableParagraph"/>
              <w:spacing w:line="156" w:lineRule="exact" w:before="3"/>
              <w:ind w:left="288"/>
              <w:rPr>
                <w:sz w:val="15"/>
              </w:rPr>
            </w:pPr>
            <w:r>
              <w:rPr>
                <w:color w:val="231F20"/>
                <w:sz w:val="15"/>
              </w:rPr>
              <w:t>EVP: CFO (includes Finance and Control, Legal, IP, Tax, Treasury,</w:t>
            </w:r>
          </w:p>
        </w:tc>
      </w:tr>
      <w:tr>
        <w:trPr>
          <w:trHeight w:val="258"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sz w:val="15"/>
              </w:rPr>
              <w:t>Global Nestlé Business Services)</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sz w:val="15"/>
              </w:rPr>
              <w:t>Stefan Catsicas</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1958</w:t>
            </w:r>
          </w:p>
        </w:tc>
        <w:tc>
          <w:tcPr>
            <w:tcW w:w="1274" w:type="dxa"/>
            <w:tcBorders>
              <w:top w:val="single" w:sz="2" w:space="0" w:color="8F999F"/>
            </w:tcBorders>
          </w:tcPr>
          <w:p>
            <w:pPr>
              <w:pStyle w:val="TableParagraph"/>
              <w:spacing w:line="156" w:lineRule="exact" w:before="34"/>
              <w:ind w:left="244"/>
              <w:rPr>
                <w:sz w:val="15"/>
              </w:rPr>
            </w:pPr>
            <w:r>
              <w:rPr>
                <w:color w:val="231F20"/>
                <w:w w:val="110"/>
                <w:sz w:val="15"/>
              </w:rPr>
              <w:t>Swiss</w:t>
            </w:r>
          </w:p>
        </w:tc>
        <w:tc>
          <w:tcPr>
            <w:tcW w:w="5335" w:type="dxa"/>
            <w:tcBorders>
              <w:top w:val="single" w:sz="2" w:space="0" w:color="8F999F"/>
            </w:tcBorders>
          </w:tcPr>
          <w:p>
            <w:pPr>
              <w:pStyle w:val="TableParagraph"/>
              <w:spacing w:line="156" w:lineRule="exact" w:before="34"/>
              <w:ind w:left="288"/>
              <w:rPr>
                <w:sz w:val="15"/>
              </w:rPr>
            </w:pPr>
            <w:r>
              <w:rPr>
                <w:color w:val="231F20"/>
                <w:sz w:val="15"/>
              </w:rPr>
              <w:t>Natural Sciences and Postgraduate in Neurosciences</w:t>
            </w:r>
          </w:p>
        </w:tc>
      </w:tr>
      <w:tr>
        <w:trPr>
          <w:trHeight w:val="180" w:hRule="atLeast"/>
        </w:trPr>
        <w:tc>
          <w:tcPr>
            <w:tcW w:w="2472" w:type="dxa"/>
          </w:tcPr>
          <w:p>
            <w:pPr>
              <w:pStyle w:val="TableParagraph"/>
              <w:spacing w:line="240" w:lineRule="auto" w:before="0"/>
              <w:rPr>
                <w:rFonts w:ascii="Times New Roman"/>
                <w:sz w:val="12"/>
              </w:rPr>
            </w:pPr>
          </w:p>
        </w:tc>
        <w:tc>
          <w:tcPr>
            <w:tcW w:w="1238" w:type="dxa"/>
          </w:tcPr>
          <w:p>
            <w:pPr>
              <w:pStyle w:val="TableParagraph"/>
              <w:spacing w:line="240" w:lineRule="auto" w:before="0"/>
              <w:rPr>
                <w:rFonts w:ascii="Times New Roman"/>
                <w:sz w:val="12"/>
              </w:rPr>
            </w:pPr>
          </w:p>
        </w:tc>
        <w:tc>
          <w:tcPr>
            <w:tcW w:w="1274" w:type="dxa"/>
          </w:tcPr>
          <w:p>
            <w:pPr>
              <w:pStyle w:val="TableParagraph"/>
              <w:spacing w:line="240" w:lineRule="auto" w:before="0"/>
              <w:rPr>
                <w:rFonts w:ascii="Times New Roman"/>
                <w:sz w:val="12"/>
              </w:rPr>
            </w:pPr>
          </w:p>
        </w:tc>
        <w:tc>
          <w:tcPr>
            <w:tcW w:w="5335" w:type="dxa"/>
          </w:tcPr>
          <w:p>
            <w:pPr>
              <w:pStyle w:val="TableParagraph"/>
              <w:spacing w:line="156" w:lineRule="exact" w:before="3"/>
              <w:ind w:left="288"/>
              <w:rPr>
                <w:sz w:val="15"/>
              </w:rPr>
            </w:pPr>
            <w:r>
              <w:rPr>
                <w:color w:val="231F20"/>
                <w:sz w:val="15"/>
              </w:rPr>
              <w:t>EVP: Chief Technology Officer: Innovation,</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w w:val="105"/>
                <w:sz w:val="15"/>
              </w:rPr>
              <w:t>Technology and R&amp;D</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sz w:val="15"/>
              </w:rPr>
              <w:t>Marco Settembri</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1959</w:t>
            </w:r>
          </w:p>
        </w:tc>
        <w:tc>
          <w:tcPr>
            <w:tcW w:w="1274" w:type="dxa"/>
            <w:tcBorders>
              <w:top w:val="single" w:sz="2" w:space="0" w:color="8F999F"/>
            </w:tcBorders>
          </w:tcPr>
          <w:p>
            <w:pPr>
              <w:pStyle w:val="TableParagraph"/>
              <w:spacing w:line="156" w:lineRule="exact" w:before="34"/>
              <w:ind w:left="244"/>
              <w:rPr>
                <w:sz w:val="15"/>
              </w:rPr>
            </w:pPr>
            <w:r>
              <w:rPr>
                <w:color w:val="231F20"/>
                <w:sz w:val="15"/>
              </w:rPr>
              <w:t>Italian</w:t>
            </w:r>
          </w:p>
        </w:tc>
        <w:tc>
          <w:tcPr>
            <w:tcW w:w="5335" w:type="dxa"/>
            <w:tcBorders>
              <w:top w:val="single" w:sz="2" w:space="0" w:color="8F999F"/>
            </w:tcBorders>
          </w:tcPr>
          <w:p>
            <w:pPr>
              <w:pStyle w:val="TableParagraph"/>
              <w:spacing w:line="156" w:lineRule="exact" w:before="34"/>
              <w:ind w:left="288"/>
              <w:rPr>
                <w:sz w:val="15"/>
              </w:rPr>
            </w:pPr>
            <w:r>
              <w:rPr>
                <w:color w:val="231F20"/>
                <w:w w:val="105"/>
                <w:sz w:val="15"/>
              </w:rPr>
              <w:t>Business Administration</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sz w:val="15"/>
              </w:rPr>
              <w:t>EVP: Nestlé Waters</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sz w:val="15"/>
              </w:rPr>
              <w:t>Peter Vogt</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1955</w:t>
            </w:r>
          </w:p>
        </w:tc>
        <w:tc>
          <w:tcPr>
            <w:tcW w:w="1274" w:type="dxa"/>
            <w:tcBorders>
              <w:top w:val="single" w:sz="2" w:space="0" w:color="8F999F"/>
            </w:tcBorders>
          </w:tcPr>
          <w:p>
            <w:pPr>
              <w:pStyle w:val="TableParagraph"/>
              <w:spacing w:line="156" w:lineRule="exact" w:before="34"/>
              <w:ind w:left="244"/>
              <w:rPr>
                <w:sz w:val="15"/>
              </w:rPr>
            </w:pPr>
            <w:r>
              <w:rPr>
                <w:color w:val="231F20"/>
                <w:w w:val="110"/>
                <w:sz w:val="15"/>
              </w:rPr>
              <w:t>Swiss</w:t>
            </w:r>
          </w:p>
        </w:tc>
        <w:tc>
          <w:tcPr>
            <w:tcW w:w="5335" w:type="dxa"/>
            <w:tcBorders>
              <w:top w:val="single" w:sz="2" w:space="0" w:color="8F999F"/>
            </w:tcBorders>
          </w:tcPr>
          <w:p>
            <w:pPr>
              <w:pStyle w:val="TableParagraph"/>
              <w:spacing w:line="156" w:lineRule="exact" w:before="34"/>
              <w:ind w:left="288"/>
              <w:rPr>
                <w:sz w:val="15"/>
              </w:rPr>
            </w:pPr>
            <w:r>
              <w:rPr>
                <w:color w:val="231F20"/>
                <w:sz w:val="15"/>
              </w:rPr>
              <w:t>Economics and Finance &amp; Accounting</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w w:val="105"/>
                <w:sz w:val="15"/>
              </w:rPr>
              <w:t>Deputy EVP: Human Resources</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sz w:val="15"/>
              </w:rPr>
              <w:t>Martial Rolland</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1963</w:t>
            </w:r>
          </w:p>
        </w:tc>
        <w:tc>
          <w:tcPr>
            <w:tcW w:w="1274" w:type="dxa"/>
            <w:tcBorders>
              <w:top w:val="single" w:sz="2" w:space="0" w:color="8F999F"/>
            </w:tcBorders>
          </w:tcPr>
          <w:p>
            <w:pPr>
              <w:pStyle w:val="TableParagraph"/>
              <w:spacing w:line="156" w:lineRule="exact" w:before="34"/>
              <w:ind w:left="244"/>
              <w:rPr>
                <w:sz w:val="15"/>
              </w:rPr>
            </w:pPr>
            <w:r>
              <w:rPr>
                <w:color w:val="231F20"/>
                <w:sz w:val="15"/>
              </w:rPr>
              <w:t>French</w:t>
            </w:r>
          </w:p>
        </w:tc>
        <w:tc>
          <w:tcPr>
            <w:tcW w:w="5335" w:type="dxa"/>
            <w:tcBorders>
              <w:top w:val="single" w:sz="2" w:space="0" w:color="8F999F"/>
            </w:tcBorders>
          </w:tcPr>
          <w:p>
            <w:pPr>
              <w:pStyle w:val="TableParagraph"/>
              <w:spacing w:line="156" w:lineRule="exact" w:before="34"/>
              <w:ind w:left="288"/>
              <w:rPr>
                <w:sz w:val="15"/>
              </w:rPr>
            </w:pPr>
            <w:r>
              <w:rPr>
                <w:color w:val="231F20"/>
                <w:sz w:val="15"/>
              </w:rPr>
              <w:t>International Management and Business Administration</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sz w:val="15"/>
              </w:rPr>
              <w:t>Deputy EVP: Nestlé Professional</w:t>
            </w:r>
          </w:p>
        </w:tc>
      </w:tr>
      <w:tr>
        <w:trPr>
          <w:trHeight w:val="210" w:hRule="atLeast"/>
        </w:trPr>
        <w:tc>
          <w:tcPr>
            <w:tcW w:w="2472" w:type="dxa"/>
            <w:tcBorders>
              <w:top w:val="single" w:sz="2" w:space="0" w:color="8F999F"/>
            </w:tcBorders>
          </w:tcPr>
          <w:p>
            <w:pPr>
              <w:pStyle w:val="TableParagraph"/>
              <w:spacing w:line="156" w:lineRule="exact" w:before="34"/>
              <w:rPr>
                <w:sz w:val="15"/>
              </w:rPr>
            </w:pPr>
            <w:r>
              <w:rPr>
                <w:color w:val="231F20"/>
                <w:sz w:val="15"/>
              </w:rPr>
              <w:t>David P. Frick</w:t>
            </w:r>
          </w:p>
        </w:tc>
        <w:tc>
          <w:tcPr>
            <w:tcW w:w="1238" w:type="dxa"/>
            <w:tcBorders>
              <w:top w:val="single" w:sz="2" w:space="0" w:color="8F999F"/>
            </w:tcBorders>
          </w:tcPr>
          <w:p>
            <w:pPr>
              <w:pStyle w:val="TableParagraph"/>
              <w:spacing w:line="156" w:lineRule="exact" w:before="34"/>
              <w:ind w:left="164"/>
              <w:rPr>
                <w:sz w:val="15"/>
              </w:rPr>
            </w:pPr>
            <w:r>
              <w:rPr>
                <w:color w:val="231F20"/>
                <w:w w:val="105"/>
                <w:sz w:val="15"/>
              </w:rPr>
              <w:t>1965</w:t>
            </w:r>
          </w:p>
        </w:tc>
        <w:tc>
          <w:tcPr>
            <w:tcW w:w="1274" w:type="dxa"/>
            <w:tcBorders>
              <w:top w:val="single" w:sz="2" w:space="0" w:color="8F999F"/>
            </w:tcBorders>
          </w:tcPr>
          <w:p>
            <w:pPr>
              <w:pStyle w:val="TableParagraph"/>
              <w:spacing w:line="156" w:lineRule="exact" w:before="34"/>
              <w:ind w:left="244"/>
              <w:rPr>
                <w:sz w:val="15"/>
              </w:rPr>
            </w:pPr>
            <w:r>
              <w:rPr>
                <w:color w:val="231F20"/>
                <w:w w:val="110"/>
                <w:sz w:val="15"/>
              </w:rPr>
              <w:t>Swiss</w:t>
            </w:r>
          </w:p>
        </w:tc>
        <w:tc>
          <w:tcPr>
            <w:tcW w:w="5335" w:type="dxa"/>
            <w:tcBorders>
              <w:top w:val="single" w:sz="2" w:space="0" w:color="8F999F"/>
            </w:tcBorders>
          </w:tcPr>
          <w:p>
            <w:pPr>
              <w:pStyle w:val="TableParagraph"/>
              <w:spacing w:line="156" w:lineRule="exact" w:before="34"/>
              <w:ind w:left="288"/>
              <w:rPr>
                <w:sz w:val="15"/>
              </w:rPr>
            </w:pPr>
            <w:r>
              <w:rPr>
                <w:color w:val="231F20"/>
                <w:w w:val="105"/>
                <w:sz w:val="15"/>
              </w:rPr>
              <w:t>Law</w:t>
            </w:r>
          </w:p>
        </w:tc>
      </w:tr>
      <w:tr>
        <w:trPr>
          <w:trHeight w:val="180" w:hRule="atLeast"/>
        </w:trPr>
        <w:tc>
          <w:tcPr>
            <w:tcW w:w="2472" w:type="dxa"/>
          </w:tcPr>
          <w:p>
            <w:pPr>
              <w:pStyle w:val="TableParagraph"/>
              <w:spacing w:line="240" w:lineRule="auto" w:before="0"/>
              <w:rPr>
                <w:rFonts w:ascii="Times New Roman"/>
                <w:sz w:val="12"/>
              </w:rPr>
            </w:pPr>
          </w:p>
        </w:tc>
        <w:tc>
          <w:tcPr>
            <w:tcW w:w="1238" w:type="dxa"/>
          </w:tcPr>
          <w:p>
            <w:pPr>
              <w:pStyle w:val="TableParagraph"/>
              <w:spacing w:line="240" w:lineRule="auto" w:before="0"/>
              <w:rPr>
                <w:rFonts w:ascii="Times New Roman"/>
                <w:sz w:val="12"/>
              </w:rPr>
            </w:pPr>
          </w:p>
        </w:tc>
        <w:tc>
          <w:tcPr>
            <w:tcW w:w="1274" w:type="dxa"/>
          </w:tcPr>
          <w:p>
            <w:pPr>
              <w:pStyle w:val="TableParagraph"/>
              <w:spacing w:line="240" w:lineRule="auto" w:before="0"/>
              <w:rPr>
                <w:rFonts w:ascii="Times New Roman"/>
                <w:sz w:val="12"/>
              </w:rPr>
            </w:pPr>
          </w:p>
        </w:tc>
        <w:tc>
          <w:tcPr>
            <w:tcW w:w="5335" w:type="dxa"/>
          </w:tcPr>
          <w:p>
            <w:pPr>
              <w:pStyle w:val="TableParagraph"/>
              <w:spacing w:line="156" w:lineRule="exact" w:before="3"/>
              <w:ind w:left="288"/>
              <w:rPr>
                <w:sz w:val="15"/>
              </w:rPr>
            </w:pPr>
            <w:r>
              <w:rPr>
                <w:color w:val="231F20"/>
                <w:sz w:val="15"/>
              </w:rPr>
              <w:t>SVP: Corporate Governance, Compliance and</w:t>
            </w:r>
          </w:p>
        </w:tc>
      </w:tr>
      <w:tr>
        <w:trPr>
          <w:trHeight w:val="257" w:hRule="atLeast"/>
        </w:trPr>
        <w:tc>
          <w:tcPr>
            <w:tcW w:w="2472" w:type="dxa"/>
            <w:tcBorders>
              <w:bottom w:val="single" w:sz="2" w:space="0" w:color="8F999F"/>
            </w:tcBorders>
          </w:tcPr>
          <w:p>
            <w:pPr>
              <w:pStyle w:val="TableParagraph"/>
              <w:spacing w:line="240" w:lineRule="auto" w:before="0"/>
              <w:rPr>
                <w:rFonts w:ascii="Times New Roman"/>
                <w:sz w:val="14"/>
              </w:rPr>
            </w:pPr>
          </w:p>
        </w:tc>
        <w:tc>
          <w:tcPr>
            <w:tcW w:w="1238" w:type="dxa"/>
            <w:tcBorders>
              <w:bottom w:val="single" w:sz="2" w:space="0" w:color="8F999F"/>
            </w:tcBorders>
          </w:tcPr>
          <w:p>
            <w:pPr>
              <w:pStyle w:val="TableParagraph"/>
              <w:spacing w:line="240" w:lineRule="auto" w:before="0"/>
              <w:rPr>
                <w:rFonts w:ascii="Times New Roman"/>
                <w:sz w:val="14"/>
              </w:rPr>
            </w:pPr>
          </w:p>
        </w:tc>
        <w:tc>
          <w:tcPr>
            <w:tcW w:w="1274" w:type="dxa"/>
            <w:tcBorders>
              <w:bottom w:val="single" w:sz="2" w:space="0" w:color="8F999F"/>
            </w:tcBorders>
          </w:tcPr>
          <w:p>
            <w:pPr>
              <w:pStyle w:val="TableParagraph"/>
              <w:spacing w:line="240" w:lineRule="auto" w:before="0"/>
              <w:rPr>
                <w:rFonts w:ascii="Times New Roman"/>
                <w:sz w:val="14"/>
              </w:rPr>
            </w:pPr>
          </w:p>
        </w:tc>
        <w:tc>
          <w:tcPr>
            <w:tcW w:w="5335" w:type="dxa"/>
            <w:tcBorders>
              <w:bottom w:val="single" w:sz="2" w:space="0" w:color="8F999F"/>
            </w:tcBorders>
          </w:tcPr>
          <w:p>
            <w:pPr>
              <w:pStyle w:val="TableParagraph"/>
              <w:spacing w:line="240" w:lineRule="auto" w:before="3"/>
              <w:ind w:left="288"/>
              <w:rPr>
                <w:sz w:val="15"/>
              </w:rPr>
            </w:pPr>
            <w:r>
              <w:rPr>
                <w:color w:val="231F20"/>
                <w:sz w:val="15"/>
              </w:rPr>
              <w:t>Corporate Services</w:t>
            </w:r>
          </w:p>
        </w:tc>
      </w:tr>
    </w:tbl>
    <w:p>
      <w:pPr>
        <w:pStyle w:val="BodyText"/>
        <w:spacing w:before="7"/>
        <w:rPr>
          <w:b/>
          <w:sz w:val="13"/>
        </w:rPr>
      </w:pPr>
    </w:p>
    <w:p>
      <w:pPr>
        <w:spacing w:before="101"/>
        <w:ind w:left="560" w:right="0" w:firstLine="0"/>
        <w:jc w:val="left"/>
        <w:rPr>
          <w:sz w:val="13"/>
        </w:rPr>
      </w:pPr>
      <w:r>
        <w:rPr>
          <w:color w:val="586670"/>
          <w:sz w:val="13"/>
        </w:rPr>
        <w:t>(EVP: Executive Vice President; SVP: Senior Vice President)</w:t>
      </w:r>
    </w:p>
    <w:p>
      <w:pPr>
        <w:spacing w:before="10"/>
        <w:ind w:left="560" w:right="0" w:firstLine="0"/>
        <w:jc w:val="left"/>
        <w:rPr>
          <w:sz w:val="13"/>
        </w:rPr>
      </w:pPr>
      <w:r>
        <w:rPr>
          <w:color w:val="586670"/>
          <w:spacing w:val="2"/>
          <w:w w:val="105"/>
          <w:sz w:val="13"/>
        </w:rPr>
        <w:t>F</w:t>
      </w:r>
      <w:r>
        <w:rPr>
          <w:color w:val="586670"/>
          <w:spacing w:val="2"/>
          <w:w w:val="106"/>
          <w:sz w:val="13"/>
        </w:rPr>
        <w:t>o</w:t>
      </w:r>
      <w:r>
        <w:rPr>
          <w:color w:val="586670"/>
          <w:w w:val="88"/>
          <w:sz w:val="13"/>
        </w:rPr>
        <w:t>r</w:t>
      </w:r>
      <w:r>
        <w:rPr>
          <w:color w:val="586670"/>
          <w:spacing w:val="-7"/>
          <w:sz w:val="13"/>
        </w:rPr>
        <w:t> </w:t>
      </w:r>
      <w:r>
        <w:rPr>
          <w:color w:val="586670"/>
          <w:spacing w:val="3"/>
          <w:w w:val="105"/>
          <w:sz w:val="13"/>
        </w:rPr>
        <w:t>c</w:t>
      </w:r>
      <w:r>
        <w:rPr>
          <w:color w:val="586670"/>
          <w:spacing w:val="2"/>
          <w:w w:val="106"/>
          <w:sz w:val="13"/>
        </w:rPr>
        <w:t>o</w:t>
      </w:r>
      <w:r>
        <w:rPr>
          <w:color w:val="586670"/>
          <w:spacing w:val="1"/>
          <w:w w:val="107"/>
          <w:sz w:val="13"/>
        </w:rPr>
        <w:t>m</w:t>
      </w:r>
      <w:r>
        <w:rPr>
          <w:color w:val="586670"/>
          <w:spacing w:val="2"/>
          <w:w w:val="104"/>
          <w:sz w:val="13"/>
        </w:rPr>
        <w:t>p</w:t>
      </w:r>
      <w:r>
        <w:rPr>
          <w:color w:val="586670"/>
          <w:spacing w:val="2"/>
          <w:w w:val="79"/>
          <w:sz w:val="13"/>
        </w:rPr>
        <w:t>l</w:t>
      </w:r>
      <w:r>
        <w:rPr>
          <w:color w:val="586670"/>
          <w:spacing w:val="1"/>
          <w:w w:val="97"/>
          <w:sz w:val="13"/>
        </w:rPr>
        <w:t>e</w:t>
      </w:r>
      <w:r>
        <w:rPr>
          <w:color w:val="586670"/>
          <w:spacing w:val="1"/>
          <w:w w:val="81"/>
          <w:sz w:val="13"/>
        </w:rPr>
        <w:t>t</w:t>
      </w:r>
      <w:r>
        <w:rPr>
          <w:color w:val="586670"/>
          <w:w w:val="97"/>
          <w:sz w:val="13"/>
        </w:rPr>
        <w:t>e</w:t>
      </w:r>
      <w:r>
        <w:rPr>
          <w:color w:val="586670"/>
          <w:spacing w:val="-7"/>
          <w:sz w:val="13"/>
        </w:rPr>
        <w:t> </w:t>
      </w:r>
      <w:r>
        <w:rPr>
          <w:color w:val="586670"/>
          <w:spacing w:val="1"/>
          <w:w w:val="81"/>
          <w:sz w:val="13"/>
        </w:rPr>
        <w:t>i</w:t>
      </w:r>
      <w:r>
        <w:rPr>
          <w:color w:val="586670"/>
          <w:spacing w:val="1"/>
          <w:w w:val="105"/>
          <w:sz w:val="13"/>
        </w:rPr>
        <w:t>n</w:t>
      </w:r>
      <w:r>
        <w:rPr>
          <w:color w:val="586670"/>
          <w:w w:val="86"/>
          <w:sz w:val="13"/>
        </w:rPr>
        <w:t>f</w:t>
      </w:r>
      <w:r>
        <w:rPr>
          <w:color w:val="586670"/>
          <w:spacing w:val="2"/>
          <w:w w:val="106"/>
          <w:sz w:val="13"/>
        </w:rPr>
        <w:t>o</w:t>
      </w:r>
      <w:r>
        <w:rPr>
          <w:color w:val="586670"/>
          <w:spacing w:val="3"/>
          <w:w w:val="88"/>
          <w:sz w:val="13"/>
        </w:rPr>
        <w:t>r</w:t>
      </w:r>
      <w:r>
        <w:rPr>
          <w:color w:val="586670"/>
          <w:spacing w:val="3"/>
          <w:w w:val="107"/>
          <w:sz w:val="13"/>
        </w:rPr>
        <w:t>m</w:t>
      </w:r>
      <w:r>
        <w:rPr>
          <w:color w:val="586670"/>
          <w:spacing w:val="1"/>
          <w:w w:val="98"/>
          <w:sz w:val="13"/>
        </w:rPr>
        <w:t>a</w:t>
      </w:r>
      <w:r>
        <w:rPr>
          <w:color w:val="586670"/>
          <w:spacing w:val="2"/>
          <w:w w:val="81"/>
          <w:sz w:val="13"/>
        </w:rPr>
        <w:t>ti</w:t>
      </w:r>
      <w:r>
        <w:rPr>
          <w:color w:val="586670"/>
          <w:spacing w:val="2"/>
          <w:w w:val="106"/>
          <w:sz w:val="13"/>
        </w:rPr>
        <w:t>o</w:t>
      </w:r>
      <w:r>
        <w:rPr>
          <w:color w:val="586670"/>
          <w:spacing w:val="-2"/>
          <w:w w:val="105"/>
          <w:sz w:val="13"/>
        </w:rPr>
        <w:t>n</w:t>
      </w:r>
      <w:r>
        <w:rPr>
          <w:color w:val="586670"/>
          <w:w w:val="76"/>
          <w:sz w:val="13"/>
        </w:rPr>
        <w:t>:</w:t>
      </w:r>
      <w:r>
        <w:rPr>
          <w:color w:val="586670"/>
          <w:spacing w:val="-7"/>
          <w:sz w:val="13"/>
        </w:rPr>
        <w:t> </w:t>
      </w:r>
      <w:r>
        <w:rPr>
          <w:color w:val="586670"/>
          <w:spacing w:val="2"/>
          <w:w w:val="104"/>
          <w:sz w:val="13"/>
        </w:rPr>
        <w:t>p</w:t>
      </w:r>
      <w:r>
        <w:rPr>
          <w:color w:val="586670"/>
          <w:spacing w:val="2"/>
          <w:w w:val="79"/>
          <w:sz w:val="13"/>
        </w:rPr>
        <w:t>l</w:t>
      </w:r>
      <w:r>
        <w:rPr>
          <w:color w:val="586670"/>
          <w:spacing w:val="4"/>
          <w:w w:val="97"/>
          <w:sz w:val="13"/>
        </w:rPr>
        <w:t>e</w:t>
      </w:r>
      <w:r>
        <w:rPr>
          <w:color w:val="586670"/>
          <w:spacing w:val="1"/>
          <w:w w:val="98"/>
          <w:sz w:val="13"/>
        </w:rPr>
        <w:t>a</w:t>
      </w:r>
      <w:r>
        <w:rPr>
          <w:color w:val="586670"/>
          <w:spacing w:val="2"/>
          <w:w w:val="118"/>
          <w:sz w:val="13"/>
        </w:rPr>
        <w:t>s</w:t>
      </w:r>
      <w:r>
        <w:rPr>
          <w:color w:val="586670"/>
          <w:w w:val="97"/>
          <w:sz w:val="13"/>
        </w:rPr>
        <w:t>e</w:t>
      </w:r>
      <w:r>
        <w:rPr>
          <w:color w:val="586670"/>
          <w:spacing w:val="-7"/>
          <w:sz w:val="13"/>
        </w:rPr>
        <w:t> </w:t>
      </w:r>
      <w:r>
        <w:rPr>
          <w:color w:val="586670"/>
          <w:spacing w:val="2"/>
          <w:w w:val="88"/>
          <w:sz w:val="13"/>
        </w:rPr>
        <w:t>r</w:t>
      </w:r>
      <w:r>
        <w:rPr>
          <w:color w:val="586670"/>
          <w:spacing w:val="1"/>
          <w:w w:val="97"/>
          <w:sz w:val="13"/>
        </w:rPr>
        <w:t>e</w:t>
      </w:r>
      <w:r>
        <w:rPr>
          <w:color w:val="586670"/>
          <w:w w:val="86"/>
          <w:sz w:val="13"/>
        </w:rPr>
        <w:t>f</w:t>
      </w:r>
      <w:r>
        <w:rPr>
          <w:color w:val="586670"/>
          <w:spacing w:val="2"/>
          <w:w w:val="97"/>
          <w:sz w:val="13"/>
        </w:rPr>
        <w:t>e</w:t>
      </w:r>
      <w:r>
        <w:rPr>
          <w:color w:val="586670"/>
          <w:w w:val="88"/>
          <w:sz w:val="13"/>
        </w:rPr>
        <w:t>r</w:t>
      </w:r>
      <w:r>
        <w:rPr>
          <w:color w:val="586670"/>
          <w:spacing w:val="-7"/>
          <w:sz w:val="13"/>
        </w:rPr>
        <w:t> </w:t>
      </w:r>
      <w:r>
        <w:rPr>
          <w:color w:val="586670"/>
          <w:spacing w:val="1"/>
          <w:w w:val="81"/>
          <w:sz w:val="13"/>
        </w:rPr>
        <w:t>t</w:t>
      </w:r>
      <w:r>
        <w:rPr>
          <w:color w:val="586670"/>
          <w:w w:val="106"/>
          <w:sz w:val="13"/>
        </w:rPr>
        <w:t>o</w:t>
      </w:r>
      <w:r>
        <w:rPr>
          <w:color w:val="586670"/>
          <w:spacing w:val="-7"/>
          <w:sz w:val="13"/>
        </w:rPr>
        <w:t> </w:t>
      </w:r>
      <w:r>
        <w:rPr>
          <w:color w:val="586670"/>
          <w:spacing w:val="1"/>
          <w:w w:val="81"/>
          <w:sz w:val="13"/>
        </w:rPr>
        <w:t>i</w:t>
      </w:r>
      <w:r>
        <w:rPr>
          <w:color w:val="586670"/>
          <w:spacing w:val="2"/>
          <w:w w:val="105"/>
          <w:sz w:val="13"/>
        </w:rPr>
        <w:t>n</w:t>
      </w:r>
      <w:r>
        <w:rPr>
          <w:color w:val="586670"/>
          <w:spacing w:val="1"/>
          <w:w w:val="104"/>
          <w:sz w:val="13"/>
        </w:rPr>
        <w:t>d</w:t>
      </w:r>
      <w:r>
        <w:rPr>
          <w:color w:val="586670"/>
          <w:spacing w:val="2"/>
          <w:w w:val="81"/>
          <w:sz w:val="13"/>
        </w:rPr>
        <w:t>i</w:t>
      </w:r>
      <w:r>
        <w:rPr>
          <w:color w:val="586670"/>
          <w:spacing w:val="2"/>
          <w:w w:val="104"/>
          <w:sz w:val="13"/>
        </w:rPr>
        <w:t>v</w:t>
      </w:r>
      <w:r>
        <w:rPr>
          <w:color w:val="586670"/>
          <w:spacing w:val="2"/>
          <w:w w:val="81"/>
          <w:sz w:val="13"/>
        </w:rPr>
        <w:t>i</w:t>
      </w:r>
      <w:r>
        <w:rPr>
          <w:color w:val="586670"/>
          <w:spacing w:val="1"/>
          <w:w w:val="104"/>
          <w:sz w:val="13"/>
        </w:rPr>
        <w:t>d</w:t>
      </w:r>
      <w:r>
        <w:rPr>
          <w:color w:val="586670"/>
          <w:spacing w:val="3"/>
          <w:w w:val="105"/>
          <w:sz w:val="13"/>
        </w:rPr>
        <w:t>u</w:t>
      </w:r>
      <w:r>
        <w:rPr>
          <w:color w:val="586670"/>
          <w:spacing w:val="1"/>
          <w:w w:val="98"/>
          <w:sz w:val="13"/>
        </w:rPr>
        <w:t>a</w:t>
      </w:r>
      <w:r>
        <w:rPr>
          <w:color w:val="586670"/>
          <w:w w:val="79"/>
          <w:sz w:val="13"/>
        </w:rPr>
        <w:t>l</w:t>
      </w:r>
      <w:r>
        <w:rPr>
          <w:color w:val="586670"/>
          <w:spacing w:val="-7"/>
          <w:sz w:val="13"/>
        </w:rPr>
        <w:t> </w:t>
      </w:r>
      <w:r>
        <w:rPr>
          <w:color w:val="586670"/>
          <w:spacing w:val="2"/>
          <w:w w:val="111"/>
          <w:sz w:val="13"/>
        </w:rPr>
        <w:t>C</w:t>
      </w:r>
      <w:r>
        <w:rPr>
          <w:color w:val="586670"/>
          <w:spacing w:val="-2"/>
          <w:w w:val="110"/>
          <w:sz w:val="13"/>
        </w:rPr>
        <w:t>V</w:t>
      </w:r>
      <w:r>
        <w:rPr>
          <w:color w:val="586670"/>
          <w:w w:val="118"/>
          <w:sz w:val="13"/>
        </w:rPr>
        <w:t>s</w:t>
      </w:r>
      <w:r>
        <w:rPr>
          <w:color w:val="586670"/>
          <w:spacing w:val="-7"/>
          <w:sz w:val="13"/>
        </w:rPr>
        <w:t> </w:t>
      </w:r>
      <w:r>
        <w:rPr>
          <w:color w:val="586670"/>
          <w:spacing w:val="2"/>
          <w:w w:val="106"/>
          <w:sz w:val="13"/>
        </w:rPr>
        <w:t>o</w:t>
      </w:r>
      <w:r>
        <w:rPr>
          <w:color w:val="586670"/>
          <w:w w:val="105"/>
          <w:sz w:val="13"/>
        </w:rPr>
        <w:t>n</w:t>
      </w:r>
      <w:r>
        <w:rPr>
          <w:color w:val="586670"/>
          <w:spacing w:val="-7"/>
          <w:sz w:val="13"/>
        </w:rPr>
        <w:t> </w:t>
      </w:r>
      <w:hyperlink r:id="rId25">
        <w:r>
          <w:rPr>
            <w:color w:val="586670"/>
            <w:spacing w:val="6"/>
            <w:w w:val="110"/>
            <w:sz w:val="13"/>
          </w:rPr>
          <w:t>ww</w:t>
        </w:r>
        <w:r>
          <w:rPr>
            <w:color w:val="586670"/>
            <w:spacing w:val="-4"/>
            <w:w w:val="98"/>
            <w:sz w:val="13"/>
          </w:rPr>
          <w:t>w</w:t>
        </w:r>
        <w:r>
          <w:rPr>
            <w:color w:val="586670"/>
            <w:spacing w:val="1"/>
            <w:w w:val="98"/>
            <w:sz w:val="13"/>
          </w:rPr>
          <w:t>.</w:t>
        </w:r>
        <w:r>
          <w:rPr>
            <w:color w:val="586670"/>
            <w:spacing w:val="2"/>
            <w:w w:val="105"/>
            <w:sz w:val="13"/>
          </w:rPr>
          <w:t>n</w:t>
        </w:r>
        <w:r>
          <w:rPr>
            <w:color w:val="586670"/>
            <w:spacing w:val="2"/>
            <w:w w:val="97"/>
            <w:sz w:val="13"/>
          </w:rPr>
          <w:t>e</w:t>
        </w:r>
        <w:r>
          <w:rPr>
            <w:color w:val="586670"/>
            <w:spacing w:val="3"/>
            <w:w w:val="118"/>
            <w:sz w:val="13"/>
          </w:rPr>
          <w:t>s</w:t>
        </w:r>
        <w:r>
          <w:rPr>
            <w:color w:val="586670"/>
            <w:spacing w:val="2"/>
            <w:w w:val="81"/>
            <w:sz w:val="13"/>
          </w:rPr>
          <w:t>t</w:t>
        </w:r>
        <w:r>
          <w:rPr>
            <w:color w:val="586670"/>
            <w:spacing w:val="2"/>
            <w:w w:val="79"/>
            <w:sz w:val="13"/>
          </w:rPr>
          <w:t>l</w:t>
        </w:r>
        <w:r>
          <w:rPr>
            <w:color w:val="586670"/>
            <w:spacing w:val="1"/>
            <w:w w:val="97"/>
            <w:sz w:val="13"/>
          </w:rPr>
          <w:t>e</w:t>
        </w:r>
        <w:r>
          <w:rPr>
            <w:color w:val="586670"/>
            <w:w w:val="76"/>
            <w:sz w:val="13"/>
          </w:rPr>
          <w:t>.</w:t>
        </w:r>
        <w:r>
          <w:rPr>
            <w:color w:val="586670"/>
            <w:spacing w:val="3"/>
            <w:w w:val="105"/>
            <w:sz w:val="13"/>
          </w:rPr>
          <w:t>c</w:t>
        </w:r>
        <w:r>
          <w:rPr>
            <w:color w:val="586670"/>
            <w:spacing w:val="2"/>
            <w:w w:val="106"/>
            <w:sz w:val="13"/>
          </w:rPr>
          <w:t>o</w:t>
        </w:r>
        <w:r>
          <w:rPr>
            <w:color w:val="586670"/>
            <w:spacing w:val="4"/>
            <w:w w:val="107"/>
            <w:sz w:val="13"/>
          </w:rPr>
          <w:t>m</w:t>
        </w:r>
        <w:r>
          <w:rPr>
            <w:color w:val="586670"/>
            <w:spacing w:val="4"/>
            <w:w w:val="55"/>
            <w:sz w:val="13"/>
          </w:rPr>
          <w:t>/</w:t>
        </w:r>
        <w:r>
          <w:rPr>
            <w:color w:val="586670"/>
            <w:spacing w:val="1"/>
            <w:w w:val="81"/>
            <w:sz w:val="13"/>
          </w:rPr>
          <w:t>i</w:t>
        </w:r>
        <w:r>
          <w:rPr>
            <w:color w:val="586670"/>
            <w:w w:val="105"/>
            <w:sz w:val="13"/>
          </w:rPr>
          <w:t>n</w:t>
        </w:r>
        <w:r>
          <w:rPr>
            <w:color w:val="586670"/>
            <w:spacing w:val="1"/>
            <w:w w:val="104"/>
            <w:sz w:val="13"/>
          </w:rPr>
          <w:t>v</w:t>
        </w:r>
        <w:r>
          <w:rPr>
            <w:color w:val="586670"/>
            <w:spacing w:val="2"/>
            <w:w w:val="97"/>
            <w:sz w:val="13"/>
          </w:rPr>
          <w:t>e</w:t>
        </w:r>
        <w:r>
          <w:rPr>
            <w:color w:val="586670"/>
            <w:spacing w:val="3"/>
            <w:w w:val="118"/>
            <w:sz w:val="13"/>
          </w:rPr>
          <w:t>s</w:t>
        </w:r>
        <w:r>
          <w:rPr>
            <w:color w:val="586670"/>
            <w:spacing w:val="1"/>
            <w:w w:val="81"/>
            <w:sz w:val="13"/>
          </w:rPr>
          <w:t>t</w:t>
        </w:r>
        <w:r>
          <w:rPr>
            <w:color w:val="586670"/>
            <w:spacing w:val="2"/>
            <w:w w:val="106"/>
            <w:sz w:val="13"/>
          </w:rPr>
          <w:t>o</w:t>
        </w:r>
        <w:r>
          <w:rPr>
            <w:color w:val="586670"/>
            <w:spacing w:val="3"/>
            <w:w w:val="88"/>
            <w:sz w:val="13"/>
          </w:rPr>
          <w:t>r</w:t>
        </w:r>
        <w:r>
          <w:rPr>
            <w:color w:val="586670"/>
            <w:spacing w:val="4"/>
            <w:w w:val="118"/>
            <w:sz w:val="13"/>
          </w:rPr>
          <w:t>s</w:t>
        </w:r>
        <w:r>
          <w:rPr>
            <w:color w:val="586670"/>
            <w:spacing w:val="-1"/>
            <w:w w:val="55"/>
            <w:sz w:val="13"/>
          </w:rPr>
          <w:t>/</w:t>
        </w:r>
        <w:r>
          <w:rPr>
            <w:color w:val="586670"/>
            <w:spacing w:val="3"/>
            <w:w w:val="105"/>
            <w:sz w:val="13"/>
          </w:rPr>
          <w:t>c</w:t>
        </w:r>
        <w:r>
          <w:rPr>
            <w:color w:val="586670"/>
            <w:spacing w:val="2"/>
            <w:w w:val="106"/>
            <w:sz w:val="13"/>
          </w:rPr>
          <w:t>o</w:t>
        </w:r>
        <w:r>
          <w:rPr>
            <w:color w:val="586670"/>
            <w:spacing w:val="3"/>
            <w:w w:val="88"/>
            <w:sz w:val="13"/>
          </w:rPr>
          <w:t>r</w:t>
        </w:r>
        <w:r>
          <w:rPr>
            <w:color w:val="586670"/>
            <w:spacing w:val="3"/>
            <w:w w:val="104"/>
            <w:sz w:val="13"/>
          </w:rPr>
          <w:t>p</w:t>
        </w:r>
        <w:r>
          <w:rPr>
            <w:color w:val="586670"/>
            <w:spacing w:val="2"/>
            <w:w w:val="106"/>
            <w:sz w:val="13"/>
          </w:rPr>
          <w:t>o</w:t>
        </w:r>
        <w:r>
          <w:rPr>
            <w:color w:val="586670"/>
            <w:spacing w:val="3"/>
            <w:w w:val="88"/>
            <w:sz w:val="13"/>
          </w:rPr>
          <w:t>r</w:t>
        </w:r>
        <w:r>
          <w:rPr>
            <w:color w:val="586670"/>
            <w:spacing w:val="1"/>
            <w:w w:val="98"/>
            <w:sz w:val="13"/>
          </w:rPr>
          <w:t>a</w:t>
        </w:r>
        <w:r>
          <w:rPr>
            <w:color w:val="586670"/>
            <w:spacing w:val="1"/>
            <w:w w:val="81"/>
            <w:sz w:val="13"/>
          </w:rPr>
          <w:t>t</w:t>
        </w:r>
        <w:r>
          <w:rPr>
            <w:color w:val="586670"/>
            <w:spacing w:val="3"/>
            <w:w w:val="97"/>
            <w:sz w:val="13"/>
          </w:rPr>
          <w:t>e</w:t>
        </w:r>
        <w:r>
          <w:rPr>
            <w:color w:val="586670"/>
            <w:spacing w:val="2"/>
            <w:w w:val="117"/>
            <w:sz w:val="13"/>
          </w:rPr>
          <w:t>g</w:t>
        </w:r>
        <w:r>
          <w:rPr>
            <w:color w:val="586670"/>
            <w:spacing w:val="1"/>
            <w:w w:val="106"/>
            <w:sz w:val="13"/>
          </w:rPr>
          <w:t>o</w:t>
        </w:r>
        <w:r>
          <w:rPr>
            <w:color w:val="586670"/>
            <w:spacing w:val="1"/>
            <w:w w:val="104"/>
            <w:sz w:val="13"/>
          </w:rPr>
          <w:t>v</w:t>
        </w:r>
        <w:r>
          <w:rPr>
            <w:color w:val="586670"/>
            <w:spacing w:val="2"/>
            <w:w w:val="97"/>
            <w:sz w:val="13"/>
          </w:rPr>
          <w:t>e</w:t>
        </w:r>
        <w:r>
          <w:rPr>
            <w:color w:val="586670"/>
            <w:spacing w:val="3"/>
            <w:w w:val="88"/>
            <w:sz w:val="13"/>
          </w:rPr>
          <w:t>r</w:t>
        </w:r>
        <w:r>
          <w:rPr>
            <w:color w:val="586670"/>
            <w:spacing w:val="2"/>
            <w:w w:val="105"/>
            <w:sz w:val="13"/>
          </w:rPr>
          <w:t>n</w:t>
        </w:r>
        <w:r>
          <w:rPr>
            <w:color w:val="586670"/>
            <w:spacing w:val="1"/>
            <w:w w:val="98"/>
            <w:sz w:val="13"/>
          </w:rPr>
          <w:t>a</w:t>
        </w:r>
        <w:r>
          <w:rPr>
            <w:color w:val="586670"/>
            <w:spacing w:val="2"/>
            <w:w w:val="105"/>
            <w:sz w:val="13"/>
          </w:rPr>
          <w:t>n</w:t>
        </w:r>
        <w:r>
          <w:rPr>
            <w:color w:val="586670"/>
            <w:spacing w:val="3"/>
            <w:w w:val="105"/>
            <w:sz w:val="13"/>
          </w:rPr>
          <w:t>c</w:t>
        </w:r>
        <w:r>
          <w:rPr>
            <w:color w:val="586670"/>
            <w:spacing w:val="1"/>
            <w:w w:val="97"/>
            <w:sz w:val="13"/>
          </w:rPr>
          <w:t>e</w:t>
        </w:r>
        <w:r>
          <w:rPr>
            <w:color w:val="586670"/>
            <w:w w:val="76"/>
            <w:sz w:val="13"/>
          </w:rPr>
          <w:t>.</w:t>
        </w:r>
      </w:hyperlink>
    </w:p>
    <w:p>
      <w:pPr>
        <w:spacing w:after="0"/>
        <w:jc w:val="left"/>
        <w:rPr>
          <w:sz w:val="13"/>
        </w:rPr>
        <w:sectPr>
          <w:headerReference w:type="default" r:id="rId54"/>
          <w:footerReference w:type="default" r:id="rId55"/>
          <w:footerReference w:type="even" r:id="rId56"/>
          <w:pgSz w:w="11910" w:h="14750"/>
          <w:pgMar w:header="0" w:footer="509" w:top="980" w:bottom="700" w:left="460" w:right="460"/>
          <w:pgNumType w:start="25"/>
        </w:sectPr>
      </w:pPr>
    </w:p>
    <w:p>
      <w:pPr>
        <w:pStyle w:val="BodyText"/>
        <w:rPr>
          <w:sz w:val="20"/>
        </w:rPr>
      </w:pPr>
    </w:p>
    <w:p>
      <w:pPr>
        <w:pStyle w:val="BodyText"/>
        <w:rPr>
          <w:sz w:val="20"/>
        </w:rPr>
      </w:pPr>
    </w:p>
    <w:p>
      <w:pPr>
        <w:pStyle w:val="BodyText"/>
        <w:spacing w:before="9"/>
        <w:rPr>
          <w:sz w:val="15"/>
        </w:rPr>
      </w:pPr>
    </w:p>
    <w:p>
      <w:pPr>
        <w:spacing w:after="0"/>
        <w:rPr>
          <w:sz w:val="15"/>
        </w:rPr>
        <w:sectPr>
          <w:headerReference w:type="even" r:id="rId57"/>
          <w:pgSz w:w="11910" w:h="14750"/>
          <w:pgMar w:header="642" w:footer="509" w:top="840" w:bottom="700" w:left="460" w:right="460"/>
        </w:sectPr>
      </w:pPr>
    </w:p>
    <w:p>
      <w:pPr>
        <w:pStyle w:val="Heading3"/>
        <w:numPr>
          <w:ilvl w:val="1"/>
          <w:numId w:val="2"/>
        </w:numPr>
        <w:tabs>
          <w:tab w:pos="561" w:val="left" w:leader="none"/>
        </w:tabs>
        <w:spacing w:line="276" w:lineRule="auto" w:before="108" w:after="0"/>
        <w:ind w:left="560" w:right="508" w:hanging="454"/>
        <w:jc w:val="left"/>
      </w:pPr>
      <w:r>
        <w:rPr>
          <w:color w:val="586670"/>
          <w:w w:val="110"/>
        </w:rPr>
        <w:t>Professional background and other</w:t>
      </w:r>
      <w:r>
        <w:rPr>
          <w:color w:val="586670"/>
          <w:spacing w:val="-24"/>
          <w:w w:val="110"/>
        </w:rPr>
        <w:t> </w:t>
      </w:r>
      <w:r>
        <w:rPr>
          <w:color w:val="586670"/>
          <w:w w:val="110"/>
        </w:rPr>
        <w:t>activities and</w:t>
      </w:r>
      <w:r>
        <w:rPr>
          <w:color w:val="586670"/>
          <w:spacing w:val="-8"/>
          <w:w w:val="110"/>
        </w:rPr>
        <w:t> </w:t>
      </w:r>
      <w:r>
        <w:rPr>
          <w:color w:val="586670"/>
          <w:w w:val="110"/>
        </w:rPr>
        <w:t>functions</w:t>
      </w:r>
    </w:p>
    <w:p>
      <w:pPr>
        <w:pStyle w:val="BodyText"/>
        <w:spacing w:before="7"/>
        <w:rPr>
          <w:b/>
          <w:sz w:val="20"/>
        </w:rPr>
      </w:pPr>
    </w:p>
    <w:p>
      <w:pPr>
        <w:spacing w:before="0"/>
        <w:ind w:left="106" w:right="0" w:firstLine="0"/>
        <w:jc w:val="left"/>
        <w:rPr>
          <w:b/>
          <w:sz w:val="18"/>
        </w:rPr>
      </w:pPr>
      <w:r>
        <w:rPr>
          <w:b/>
          <w:color w:val="231F20"/>
          <w:w w:val="110"/>
          <w:sz w:val="18"/>
        </w:rPr>
        <w:t>Paul Bulcke</w:t>
      </w:r>
    </w:p>
    <w:p>
      <w:pPr>
        <w:pStyle w:val="BodyText"/>
        <w:spacing w:before="31"/>
        <w:ind w:left="106"/>
      </w:pPr>
      <w:r>
        <w:rPr>
          <w:color w:val="231F20"/>
        </w:rPr>
        <w:t>Please refer to point 3.2 above.</w:t>
      </w:r>
    </w:p>
    <w:p>
      <w:pPr>
        <w:pStyle w:val="BodyText"/>
        <w:rPr>
          <w:sz w:val="22"/>
        </w:rPr>
      </w:pPr>
    </w:p>
    <w:p>
      <w:pPr>
        <w:pStyle w:val="BodyText"/>
        <w:rPr>
          <w:sz w:val="22"/>
        </w:rPr>
      </w:pPr>
    </w:p>
    <w:p>
      <w:pPr>
        <w:pStyle w:val="Heading3"/>
        <w:ind w:left="106"/>
      </w:pPr>
      <w:r>
        <w:rPr/>
        <w:drawing>
          <wp:anchor distT="0" distB="0" distL="0" distR="0" allowOverlap="1" layoutInCell="1" locked="0" behindDoc="0" simplePos="0" relativeHeight="2056">
            <wp:simplePos x="0" y="0"/>
            <wp:positionH relativeFrom="page">
              <wp:posOffset>2591993</wp:posOffset>
            </wp:positionH>
            <wp:positionV relativeFrom="paragraph">
              <wp:posOffset>113076</wp:posOffset>
            </wp:positionV>
            <wp:extent cx="972007" cy="914400"/>
            <wp:effectExtent l="0" t="0" r="0" b="0"/>
            <wp:wrapNone/>
            <wp:docPr id="31" name="image31.png" descr=""/>
            <wp:cNvGraphicFramePr>
              <a:graphicFrameLocks noChangeAspect="1"/>
            </wp:cNvGraphicFramePr>
            <a:graphic>
              <a:graphicData uri="http://schemas.openxmlformats.org/drawingml/2006/picture">
                <pic:pic>
                  <pic:nvPicPr>
                    <pic:cNvPr id="32" name="image31.png"/>
                    <pic:cNvPicPr/>
                  </pic:nvPicPr>
                  <pic:blipFill>
                    <a:blip r:embed="rId58" cstate="print"/>
                    <a:stretch>
                      <a:fillRect/>
                    </a:stretch>
                  </pic:blipFill>
                  <pic:spPr>
                    <a:xfrm>
                      <a:off x="0" y="0"/>
                      <a:ext cx="972007" cy="914400"/>
                    </a:xfrm>
                    <a:prstGeom prst="rect">
                      <a:avLst/>
                    </a:prstGeom>
                  </pic:spPr>
                </pic:pic>
              </a:graphicData>
            </a:graphic>
          </wp:anchor>
        </w:drawing>
      </w:r>
      <w:r>
        <w:rPr>
          <w:color w:val="231F20"/>
          <w:w w:val="110"/>
        </w:rPr>
        <w:t>Luis Cantarell</w:t>
      </w:r>
    </w:p>
    <w:p>
      <w:pPr>
        <w:pStyle w:val="BodyText"/>
        <w:spacing w:line="276" w:lineRule="auto" w:before="31"/>
        <w:ind w:left="106" w:right="1845"/>
      </w:pPr>
      <w:r>
        <w:rPr>
          <w:color w:val="231F20"/>
        </w:rPr>
        <w:t>In </w:t>
      </w:r>
      <w:r>
        <w:rPr>
          <w:color w:val="231F20"/>
          <w:spacing w:val="-4"/>
        </w:rPr>
        <w:t>1976, </w:t>
      </w:r>
      <w:r>
        <w:rPr>
          <w:color w:val="231F20"/>
        </w:rPr>
        <w:t>Luis Cantarell joined Nestlé España S.A. and was  appointed  Head of Coffee Marketing in 1987 and later Head of the Nutrition Division of Nestlé Spain. In 1994, he transferred to Nestlé Headquarters, taking worldwide responsibility for Coffee</w:t>
      </w:r>
      <w:r>
        <w:rPr>
          <w:color w:val="231F20"/>
          <w:spacing w:val="14"/>
        </w:rPr>
        <w:t> </w:t>
      </w:r>
      <w:r>
        <w:rPr>
          <w:color w:val="231F20"/>
        </w:rPr>
        <w:t>Marketing</w:t>
      </w:r>
    </w:p>
    <w:p>
      <w:pPr>
        <w:pStyle w:val="BodyText"/>
        <w:spacing w:line="276" w:lineRule="auto"/>
        <w:ind w:left="106" w:right="91"/>
      </w:pPr>
      <w:r>
        <w:rPr>
          <w:color w:val="231F20"/>
          <w:w w:val="105"/>
        </w:rPr>
        <w:t>within the Coffee &amp; Beverages Strategic Business Unit. He returned to Spain in 1996 as Division Manager. From 1998 to </w:t>
      </w:r>
      <w:r>
        <w:rPr>
          <w:color w:val="231F20"/>
          <w:spacing w:val="-3"/>
          <w:w w:val="105"/>
        </w:rPr>
        <w:t>2001, </w:t>
      </w:r>
      <w:r>
        <w:rPr>
          <w:color w:val="231F20"/>
          <w:w w:val="105"/>
        </w:rPr>
        <w:t>he was Managing Director of Nestlé Portugal S.A., and</w:t>
      </w:r>
      <w:r>
        <w:rPr>
          <w:color w:val="231F20"/>
          <w:spacing w:val="-6"/>
          <w:w w:val="105"/>
        </w:rPr>
        <w:t> </w:t>
      </w:r>
      <w:r>
        <w:rPr>
          <w:color w:val="231F20"/>
          <w:w w:val="105"/>
        </w:rPr>
        <w:t>in</w:t>
      </w:r>
      <w:r>
        <w:rPr>
          <w:color w:val="231F20"/>
          <w:spacing w:val="-5"/>
          <w:w w:val="105"/>
        </w:rPr>
        <w:t> </w:t>
      </w:r>
      <w:r>
        <w:rPr>
          <w:color w:val="231F20"/>
          <w:w w:val="105"/>
        </w:rPr>
        <w:t>2001</w:t>
      </w:r>
      <w:r>
        <w:rPr>
          <w:color w:val="231F20"/>
          <w:spacing w:val="-6"/>
          <w:w w:val="105"/>
        </w:rPr>
        <w:t> </w:t>
      </w:r>
      <w:r>
        <w:rPr>
          <w:color w:val="231F20"/>
          <w:w w:val="105"/>
        </w:rPr>
        <w:t>was</w:t>
      </w:r>
      <w:r>
        <w:rPr>
          <w:color w:val="231F20"/>
          <w:spacing w:val="-5"/>
          <w:w w:val="105"/>
        </w:rPr>
        <w:t> </w:t>
      </w:r>
      <w:r>
        <w:rPr>
          <w:color w:val="231F20"/>
          <w:w w:val="105"/>
        </w:rPr>
        <w:t>nominated</w:t>
      </w:r>
      <w:r>
        <w:rPr>
          <w:color w:val="231F20"/>
          <w:spacing w:val="-5"/>
          <w:w w:val="105"/>
        </w:rPr>
        <w:t> </w:t>
      </w:r>
      <w:r>
        <w:rPr>
          <w:color w:val="231F20"/>
          <w:w w:val="105"/>
        </w:rPr>
        <w:t>Senior</w:t>
      </w:r>
      <w:r>
        <w:rPr>
          <w:color w:val="231F20"/>
          <w:spacing w:val="-6"/>
          <w:w w:val="105"/>
        </w:rPr>
        <w:t> </w:t>
      </w:r>
      <w:r>
        <w:rPr>
          <w:color w:val="231F20"/>
          <w:w w:val="105"/>
        </w:rPr>
        <w:t>Vice</w:t>
      </w:r>
      <w:r>
        <w:rPr>
          <w:color w:val="231F20"/>
          <w:spacing w:val="-5"/>
          <w:w w:val="105"/>
        </w:rPr>
        <w:t> </w:t>
      </w:r>
      <w:r>
        <w:rPr>
          <w:color w:val="231F20"/>
          <w:w w:val="105"/>
        </w:rPr>
        <w:t>President</w:t>
      </w:r>
      <w:r>
        <w:rPr>
          <w:color w:val="231F20"/>
          <w:spacing w:val="-6"/>
          <w:w w:val="105"/>
        </w:rPr>
        <w:t> </w:t>
      </w:r>
      <w:r>
        <w:rPr>
          <w:color w:val="231F20"/>
          <w:w w:val="105"/>
        </w:rPr>
        <w:t>in</w:t>
      </w:r>
      <w:r>
        <w:rPr>
          <w:color w:val="231F20"/>
          <w:spacing w:val="-5"/>
          <w:w w:val="105"/>
        </w:rPr>
        <w:t> </w:t>
      </w:r>
      <w:r>
        <w:rPr>
          <w:color w:val="231F20"/>
          <w:w w:val="105"/>
        </w:rPr>
        <w:t>charge of</w:t>
      </w:r>
      <w:r>
        <w:rPr>
          <w:color w:val="231F20"/>
          <w:spacing w:val="-23"/>
          <w:w w:val="105"/>
        </w:rPr>
        <w:t> </w:t>
      </w:r>
      <w:r>
        <w:rPr>
          <w:color w:val="231F20"/>
          <w:w w:val="105"/>
        </w:rPr>
        <w:t>the</w:t>
      </w:r>
      <w:r>
        <w:rPr>
          <w:color w:val="231F20"/>
          <w:spacing w:val="-22"/>
          <w:w w:val="105"/>
        </w:rPr>
        <w:t> </w:t>
      </w:r>
      <w:r>
        <w:rPr>
          <w:color w:val="231F20"/>
          <w:spacing w:val="-3"/>
          <w:w w:val="105"/>
        </w:rPr>
        <w:t>Group’s</w:t>
      </w:r>
      <w:r>
        <w:rPr>
          <w:color w:val="231F20"/>
          <w:spacing w:val="-22"/>
          <w:w w:val="105"/>
        </w:rPr>
        <w:t> </w:t>
      </w:r>
      <w:r>
        <w:rPr>
          <w:color w:val="231F20"/>
          <w:w w:val="105"/>
        </w:rPr>
        <w:t>Nutrition</w:t>
      </w:r>
      <w:r>
        <w:rPr>
          <w:color w:val="231F20"/>
          <w:spacing w:val="-22"/>
          <w:w w:val="105"/>
        </w:rPr>
        <w:t> </w:t>
      </w:r>
      <w:r>
        <w:rPr>
          <w:color w:val="231F20"/>
          <w:w w:val="105"/>
        </w:rPr>
        <w:t>Strategic</w:t>
      </w:r>
      <w:r>
        <w:rPr>
          <w:color w:val="231F20"/>
          <w:spacing w:val="-22"/>
          <w:w w:val="105"/>
        </w:rPr>
        <w:t> </w:t>
      </w:r>
      <w:r>
        <w:rPr>
          <w:color w:val="231F20"/>
          <w:w w:val="105"/>
        </w:rPr>
        <w:t>Business</w:t>
      </w:r>
      <w:r>
        <w:rPr>
          <w:color w:val="231F20"/>
          <w:spacing w:val="-22"/>
          <w:w w:val="105"/>
        </w:rPr>
        <w:t> </w:t>
      </w:r>
      <w:r>
        <w:rPr>
          <w:color w:val="231F20"/>
          <w:w w:val="105"/>
        </w:rPr>
        <w:t>Division.</w:t>
      </w:r>
      <w:r>
        <w:rPr>
          <w:color w:val="231F20"/>
          <w:spacing w:val="-22"/>
          <w:w w:val="105"/>
        </w:rPr>
        <w:t> </w:t>
      </w:r>
      <w:r>
        <w:rPr>
          <w:color w:val="231F20"/>
          <w:w w:val="105"/>
        </w:rPr>
        <w:t>In</w:t>
      </w:r>
      <w:r>
        <w:rPr>
          <w:color w:val="231F20"/>
          <w:spacing w:val="-22"/>
          <w:w w:val="105"/>
        </w:rPr>
        <w:t> </w:t>
      </w:r>
      <w:r>
        <w:rPr>
          <w:color w:val="231F20"/>
          <w:w w:val="105"/>
        </w:rPr>
        <w:t>2003, he was appointed Deputy Executive Vice President, before taking the position in November 2005 as Executive Vice President, Nestlé S.A., in charge of Zone Europe. From September 2008 to December </w:t>
      </w:r>
      <w:r>
        <w:rPr>
          <w:color w:val="231F20"/>
          <w:spacing w:val="-4"/>
          <w:w w:val="105"/>
        </w:rPr>
        <w:t>2010, </w:t>
      </w:r>
      <w:r>
        <w:rPr>
          <w:color w:val="231F20"/>
          <w:w w:val="105"/>
        </w:rPr>
        <w:t>Luis Cantarell was Executive Vice President of Nestlé S.A., responsible for Zone</w:t>
      </w:r>
      <w:r>
        <w:rPr>
          <w:color w:val="231F20"/>
          <w:spacing w:val="-8"/>
          <w:w w:val="105"/>
        </w:rPr>
        <w:t> </w:t>
      </w:r>
      <w:r>
        <w:rPr>
          <w:color w:val="231F20"/>
          <w:w w:val="105"/>
        </w:rPr>
        <w:t>Americas.</w:t>
      </w:r>
      <w:r>
        <w:rPr>
          <w:color w:val="231F20"/>
          <w:spacing w:val="-8"/>
          <w:w w:val="105"/>
        </w:rPr>
        <w:t> </w:t>
      </w:r>
      <w:r>
        <w:rPr>
          <w:color w:val="231F20"/>
          <w:w w:val="105"/>
        </w:rPr>
        <w:t>Luis</w:t>
      </w:r>
      <w:r>
        <w:rPr>
          <w:color w:val="231F20"/>
          <w:spacing w:val="-7"/>
          <w:w w:val="105"/>
        </w:rPr>
        <w:t> </w:t>
      </w:r>
      <w:r>
        <w:rPr>
          <w:color w:val="231F20"/>
          <w:w w:val="105"/>
        </w:rPr>
        <w:t>Cantarell</w:t>
      </w:r>
      <w:r>
        <w:rPr>
          <w:color w:val="231F20"/>
          <w:spacing w:val="-8"/>
          <w:w w:val="105"/>
        </w:rPr>
        <w:t> </w:t>
      </w:r>
      <w:r>
        <w:rPr>
          <w:color w:val="231F20"/>
          <w:w w:val="105"/>
        </w:rPr>
        <w:t>has</w:t>
      </w:r>
      <w:r>
        <w:rPr>
          <w:color w:val="231F20"/>
          <w:spacing w:val="-7"/>
          <w:w w:val="105"/>
        </w:rPr>
        <w:t> </w:t>
      </w:r>
      <w:r>
        <w:rPr>
          <w:color w:val="231F20"/>
          <w:w w:val="105"/>
        </w:rPr>
        <w:t>been</w:t>
      </w:r>
      <w:r>
        <w:rPr>
          <w:color w:val="231F20"/>
          <w:spacing w:val="-8"/>
          <w:w w:val="105"/>
        </w:rPr>
        <w:t> </w:t>
      </w:r>
      <w:r>
        <w:rPr>
          <w:color w:val="231F20"/>
          <w:w w:val="105"/>
        </w:rPr>
        <w:t>President</w:t>
      </w:r>
      <w:r>
        <w:rPr>
          <w:color w:val="231F20"/>
          <w:spacing w:val="-7"/>
          <w:w w:val="105"/>
        </w:rPr>
        <w:t> </w:t>
      </w:r>
      <w:r>
        <w:rPr>
          <w:color w:val="231F20"/>
          <w:w w:val="105"/>
        </w:rPr>
        <w:t>and</w:t>
      </w:r>
    </w:p>
    <w:p>
      <w:pPr>
        <w:pStyle w:val="BodyText"/>
        <w:spacing w:line="276" w:lineRule="auto"/>
        <w:ind w:left="106" w:right="129"/>
      </w:pPr>
      <w:r>
        <w:rPr>
          <w:color w:val="231F20"/>
        </w:rPr>
        <w:t>CEO of Nestlé Health Science S.A. since January 2011. In addition to his responsibilities in Nestlé Health Science S.A., Luis Cantarell assumes the position of Executive Vice President of Nestlé S.A. in charge of Nestlé Nutrition since December 2012.</w:t>
      </w:r>
    </w:p>
    <w:p>
      <w:pPr>
        <w:pStyle w:val="BodyText"/>
        <w:spacing w:line="276" w:lineRule="auto"/>
        <w:ind w:left="106" w:right="296" w:firstLine="226"/>
        <w:jc w:val="both"/>
      </w:pPr>
      <w:r>
        <w:rPr>
          <w:color w:val="231F20"/>
        </w:rPr>
        <w:t>As a representative of Nestlé, Luis Cantarell is a Board member of Accera, Inc., USA, a member of the Strategic Committee of Galderma Pharma S.A., Switzerland, and is Chairman of Nutrition Science Partners Ltd.</w:t>
      </w:r>
    </w:p>
    <w:p>
      <w:pPr>
        <w:pStyle w:val="BodyText"/>
        <w:rPr>
          <w:sz w:val="22"/>
        </w:rPr>
      </w:pPr>
    </w:p>
    <w:p>
      <w:pPr>
        <w:pStyle w:val="BodyText"/>
        <w:spacing w:before="6"/>
      </w:pPr>
    </w:p>
    <w:p>
      <w:pPr>
        <w:pStyle w:val="Heading3"/>
        <w:ind w:left="106"/>
      </w:pPr>
      <w:r>
        <w:rPr/>
        <w:drawing>
          <wp:anchor distT="0" distB="0" distL="0" distR="0" allowOverlap="1" layoutInCell="1" locked="0" behindDoc="0" simplePos="0" relativeHeight="2080">
            <wp:simplePos x="0" y="0"/>
            <wp:positionH relativeFrom="page">
              <wp:posOffset>2591993</wp:posOffset>
            </wp:positionH>
            <wp:positionV relativeFrom="paragraph">
              <wp:posOffset>107310</wp:posOffset>
            </wp:positionV>
            <wp:extent cx="972007" cy="914412"/>
            <wp:effectExtent l="0" t="0" r="0" b="0"/>
            <wp:wrapNone/>
            <wp:docPr id="33" name="image32.png" descr=""/>
            <wp:cNvGraphicFramePr>
              <a:graphicFrameLocks noChangeAspect="1"/>
            </wp:cNvGraphicFramePr>
            <a:graphic>
              <a:graphicData uri="http://schemas.openxmlformats.org/drawingml/2006/picture">
                <pic:pic>
                  <pic:nvPicPr>
                    <pic:cNvPr id="34" name="image32.png"/>
                    <pic:cNvPicPr/>
                  </pic:nvPicPr>
                  <pic:blipFill>
                    <a:blip r:embed="rId59" cstate="print"/>
                    <a:stretch>
                      <a:fillRect/>
                    </a:stretch>
                  </pic:blipFill>
                  <pic:spPr>
                    <a:xfrm>
                      <a:off x="0" y="0"/>
                      <a:ext cx="972007" cy="914412"/>
                    </a:xfrm>
                    <a:prstGeom prst="rect">
                      <a:avLst/>
                    </a:prstGeom>
                  </pic:spPr>
                </pic:pic>
              </a:graphicData>
            </a:graphic>
          </wp:anchor>
        </w:drawing>
      </w:r>
      <w:r>
        <w:rPr>
          <w:color w:val="231F20"/>
          <w:w w:val="110"/>
        </w:rPr>
        <w:t>José Lopez</w:t>
      </w:r>
    </w:p>
    <w:p>
      <w:pPr>
        <w:pStyle w:val="BodyText"/>
        <w:spacing w:line="276" w:lineRule="auto" w:before="31"/>
        <w:ind w:left="106" w:right="1722"/>
      </w:pPr>
      <w:r>
        <w:rPr>
          <w:color w:val="231F20"/>
          <w:w w:val="105"/>
        </w:rPr>
        <w:t>José Lopez joined Nestlé in 1979 as Engineering Trainee. From 1983 to 1995, he completed various technical assignments in Spain, USA, Japan and France. In 1995, he was appointed Technical Manager of the Oceania Region, becoming in 1997 the</w:t>
      </w:r>
    </w:p>
    <w:p>
      <w:pPr>
        <w:pStyle w:val="BodyText"/>
        <w:spacing w:line="276" w:lineRule="auto"/>
        <w:ind w:left="106"/>
      </w:pPr>
      <w:r>
        <w:rPr>
          <w:color w:val="231F20"/>
          <w:w w:val="105"/>
        </w:rPr>
        <w:t>Operations</w:t>
      </w:r>
      <w:r>
        <w:rPr>
          <w:color w:val="231F20"/>
          <w:spacing w:val="-18"/>
          <w:w w:val="105"/>
        </w:rPr>
        <w:t> </w:t>
      </w:r>
      <w:r>
        <w:rPr>
          <w:color w:val="231F20"/>
          <w:w w:val="105"/>
        </w:rPr>
        <w:t>Director</w:t>
      </w:r>
      <w:r>
        <w:rPr>
          <w:color w:val="231F20"/>
          <w:spacing w:val="-18"/>
          <w:w w:val="105"/>
        </w:rPr>
        <w:t> </w:t>
      </w:r>
      <w:r>
        <w:rPr>
          <w:color w:val="231F20"/>
          <w:w w:val="105"/>
        </w:rPr>
        <w:t>responsible</w:t>
      </w:r>
      <w:r>
        <w:rPr>
          <w:color w:val="231F20"/>
          <w:spacing w:val="-18"/>
          <w:w w:val="105"/>
        </w:rPr>
        <w:t> </w:t>
      </w:r>
      <w:r>
        <w:rPr>
          <w:color w:val="231F20"/>
          <w:w w:val="105"/>
        </w:rPr>
        <w:t>for</w:t>
      </w:r>
      <w:r>
        <w:rPr>
          <w:color w:val="231F20"/>
          <w:spacing w:val="-18"/>
          <w:w w:val="105"/>
        </w:rPr>
        <w:t> </w:t>
      </w:r>
      <w:r>
        <w:rPr>
          <w:color w:val="231F20"/>
          <w:w w:val="105"/>
        </w:rPr>
        <w:t>Technical,</w:t>
      </w:r>
      <w:r>
        <w:rPr>
          <w:color w:val="231F20"/>
          <w:spacing w:val="-17"/>
          <w:w w:val="105"/>
        </w:rPr>
        <w:t> </w:t>
      </w:r>
      <w:r>
        <w:rPr>
          <w:color w:val="231F20"/>
          <w:w w:val="105"/>
        </w:rPr>
        <w:t>Supply</w:t>
      </w:r>
      <w:r>
        <w:rPr>
          <w:color w:val="231F20"/>
          <w:spacing w:val="-18"/>
          <w:w w:val="105"/>
        </w:rPr>
        <w:t> </w:t>
      </w:r>
      <w:r>
        <w:rPr>
          <w:color w:val="231F20"/>
          <w:w w:val="105"/>
        </w:rPr>
        <w:t>Chain and </w:t>
      </w:r>
      <w:r>
        <w:rPr>
          <w:color w:val="231F20"/>
          <w:spacing w:val="2"/>
          <w:w w:val="105"/>
        </w:rPr>
        <w:t>Exports. </w:t>
      </w:r>
      <w:r>
        <w:rPr>
          <w:color w:val="231F20"/>
          <w:w w:val="105"/>
        </w:rPr>
        <w:t>In 1999, José Lopez became Market Head </w:t>
      </w:r>
      <w:r>
        <w:rPr>
          <w:color w:val="231F20"/>
          <w:w w:val="90"/>
        </w:rPr>
        <w:t>r</w:t>
      </w:r>
      <w:r>
        <w:rPr>
          <w:color w:val="231F20"/>
          <w:spacing w:val="1"/>
          <w:w w:val="100"/>
        </w:rPr>
        <w:t>e</w:t>
      </w:r>
      <w:r>
        <w:rPr>
          <w:color w:val="231F20"/>
          <w:w w:val="121"/>
        </w:rPr>
        <w:t>s</w:t>
      </w:r>
      <w:r>
        <w:rPr>
          <w:color w:val="231F20"/>
          <w:spacing w:val="2"/>
          <w:w w:val="107"/>
        </w:rPr>
        <w:t>p</w:t>
      </w:r>
      <w:r>
        <w:rPr>
          <w:color w:val="231F20"/>
          <w:spacing w:val="1"/>
          <w:w w:val="109"/>
        </w:rPr>
        <w:t>o</w:t>
      </w:r>
      <w:r>
        <w:rPr>
          <w:color w:val="231F20"/>
          <w:w w:val="108"/>
        </w:rPr>
        <w:t>n</w:t>
      </w:r>
      <w:r>
        <w:rPr>
          <w:color w:val="231F20"/>
          <w:w w:val="121"/>
        </w:rPr>
        <w:t>s</w:t>
      </w:r>
      <w:r>
        <w:rPr>
          <w:color w:val="231F20"/>
          <w:w w:val="99"/>
        </w:rPr>
        <w:t>i</w:t>
      </w:r>
      <w:r>
        <w:rPr>
          <w:color w:val="231F20"/>
          <w:spacing w:val="1"/>
          <w:w w:val="99"/>
        </w:rPr>
        <w:t>b</w:t>
      </w:r>
      <w:r>
        <w:rPr>
          <w:color w:val="231F20"/>
          <w:spacing w:val="1"/>
          <w:w w:val="81"/>
        </w:rPr>
        <w:t>l</w:t>
      </w:r>
      <w:r>
        <w:rPr>
          <w:color w:val="231F20"/>
          <w:w w:val="100"/>
        </w:rPr>
        <w:t>e</w:t>
      </w:r>
      <w:r>
        <w:rPr>
          <w:color w:val="231F20"/>
          <w:spacing w:val="-3"/>
        </w:rPr>
        <w:t> </w:t>
      </w:r>
      <w:r>
        <w:rPr>
          <w:color w:val="231F20"/>
          <w:spacing w:val="-2"/>
          <w:w w:val="88"/>
        </w:rPr>
        <w:t>f</w:t>
      </w:r>
      <w:r>
        <w:rPr>
          <w:color w:val="231F20"/>
          <w:w w:val="109"/>
        </w:rPr>
        <w:t>o</w:t>
      </w:r>
      <w:r>
        <w:rPr>
          <w:color w:val="231F20"/>
          <w:w w:val="90"/>
        </w:rPr>
        <w:t>r</w:t>
      </w:r>
      <w:r>
        <w:rPr>
          <w:color w:val="231F20"/>
          <w:spacing w:val="-3"/>
        </w:rPr>
        <w:t> </w:t>
      </w:r>
      <w:r>
        <w:rPr>
          <w:color w:val="231F20"/>
          <w:w w:val="83"/>
        </w:rPr>
        <w:t>t</w:t>
      </w:r>
      <w:r>
        <w:rPr>
          <w:color w:val="231F20"/>
          <w:spacing w:val="1"/>
          <w:w w:val="108"/>
        </w:rPr>
        <w:t>h</w:t>
      </w:r>
      <w:r>
        <w:rPr>
          <w:color w:val="231F20"/>
          <w:w w:val="100"/>
        </w:rPr>
        <w:t>e</w:t>
      </w:r>
      <w:r>
        <w:rPr>
          <w:color w:val="231F20"/>
          <w:spacing w:val="-3"/>
        </w:rPr>
        <w:t> </w:t>
      </w:r>
      <w:r>
        <w:rPr>
          <w:color w:val="231F20"/>
          <w:spacing w:val="1"/>
          <w:w w:val="136"/>
        </w:rPr>
        <w:t>M</w:t>
      </w:r>
      <w:r>
        <w:rPr>
          <w:color w:val="231F20"/>
          <w:w w:val="93"/>
        </w:rPr>
        <w:t>a</w:t>
      </w:r>
      <w:r>
        <w:rPr>
          <w:color w:val="231F20"/>
          <w:spacing w:val="1"/>
          <w:w w:val="93"/>
        </w:rPr>
        <w:t>l</w:t>
      </w:r>
      <w:r>
        <w:rPr>
          <w:color w:val="231F20"/>
          <w:spacing w:val="-2"/>
          <w:w w:val="101"/>
        </w:rPr>
        <w:t>a</w:t>
      </w:r>
      <w:r>
        <w:rPr>
          <w:color w:val="231F20"/>
          <w:w w:val="105"/>
        </w:rPr>
        <w:t>y</w:t>
      </w:r>
      <w:r>
        <w:rPr>
          <w:color w:val="231F20"/>
          <w:w w:val="121"/>
        </w:rPr>
        <w:t>s</w:t>
      </w:r>
      <w:r>
        <w:rPr>
          <w:color w:val="231F20"/>
          <w:spacing w:val="1"/>
          <w:w w:val="83"/>
        </w:rPr>
        <w:t>i</w:t>
      </w:r>
      <w:r>
        <w:rPr>
          <w:color w:val="231F20"/>
          <w:spacing w:val="-1"/>
          <w:w w:val="101"/>
        </w:rPr>
        <w:t>a</w:t>
      </w:r>
      <w:r>
        <w:rPr>
          <w:color w:val="231F20"/>
          <w:spacing w:val="3"/>
          <w:w w:val="108"/>
        </w:rPr>
        <w:t>n</w:t>
      </w:r>
      <w:r>
        <w:rPr>
          <w:color w:val="231F20"/>
          <w:w w:val="57"/>
        </w:rPr>
        <w:t>/</w:t>
      </w:r>
      <w:r>
        <w:rPr>
          <w:color w:val="231F20"/>
          <w:spacing w:val="-1"/>
          <w:w w:val="131"/>
        </w:rPr>
        <w:t>S</w:t>
      </w:r>
      <w:r>
        <w:rPr>
          <w:color w:val="231F20"/>
          <w:w w:val="99"/>
        </w:rPr>
        <w:t>in</w:t>
      </w:r>
      <w:r>
        <w:rPr>
          <w:color w:val="231F20"/>
          <w:spacing w:val="1"/>
          <w:w w:val="120"/>
        </w:rPr>
        <w:t>g</w:t>
      </w:r>
      <w:r>
        <w:rPr>
          <w:color w:val="231F20"/>
          <w:spacing w:val="-1"/>
          <w:w w:val="101"/>
        </w:rPr>
        <w:t>a</w:t>
      </w:r>
      <w:r>
        <w:rPr>
          <w:color w:val="231F20"/>
          <w:spacing w:val="2"/>
          <w:w w:val="107"/>
        </w:rPr>
        <w:t>p</w:t>
      </w:r>
      <w:r>
        <w:rPr>
          <w:color w:val="231F20"/>
          <w:w w:val="109"/>
        </w:rPr>
        <w:t>o</w:t>
      </w:r>
      <w:r>
        <w:rPr>
          <w:color w:val="231F20"/>
          <w:w w:val="90"/>
        </w:rPr>
        <w:t>r</w:t>
      </w:r>
      <w:r>
        <w:rPr>
          <w:color w:val="231F20"/>
          <w:spacing w:val="3"/>
          <w:w w:val="100"/>
        </w:rPr>
        <w:t>e</w:t>
      </w:r>
      <w:r>
        <w:rPr>
          <w:color w:val="231F20"/>
          <w:spacing w:val="-1"/>
          <w:w w:val="101"/>
        </w:rPr>
        <w:t>a</w:t>
      </w:r>
      <w:r>
        <w:rPr>
          <w:color w:val="231F20"/>
          <w:w w:val="108"/>
        </w:rPr>
        <w:t>n</w:t>
      </w:r>
      <w:r>
        <w:rPr>
          <w:color w:val="231F20"/>
          <w:spacing w:val="-3"/>
        </w:rPr>
        <w:t> </w:t>
      </w:r>
      <w:r>
        <w:rPr>
          <w:color w:val="231F20"/>
          <w:spacing w:val="-1"/>
          <w:w w:val="116"/>
        </w:rPr>
        <w:t>R</w:t>
      </w:r>
      <w:r>
        <w:rPr>
          <w:color w:val="231F20"/>
          <w:spacing w:val="2"/>
          <w:w w:val="100"/>
        </w:rPr>
        <w:t>e</w:t>
      </w:r>
      <w:r>
        <w:rPr>
          <w:color w:val="231F20"/>
          <w:w w:val="107"/>
        </w:rPr>
        <w:t>gi</w:t>
      </w:r>
      <w:r>
        <w:rPr>
          <w:color w:val="231F20"/>
          <w:spacing w:val="1"/>
          <w:w w:val="109"/>
        </w:rPr>
        <w:t>o</w:t>
      </w:r>
      <w:r>
        <w:rPr>
          <w:color w:val="231F20"/>
          <w:spacing w:val="-4"/>
          <w:w w:val="108"/>
        </w:rPr>
        <w:t>n</w:t>
      </w:r>
      <w:r>
        <w:rPr>
          <w:color w:val="231F20"/>
          <w:w w:val="78"/>
        </w:rPr>
        <w:t>;</w:t>
      </w:r>
      <w:r>
        <w:rPr>
          <w:color w:val="231F20"/>
          <w:spacing w:val="-3"/>
        </w:rPr>
        <w:t> </w:t>
      </w:r>
      <w:r>
        <w:rPr>
          <w:color w:val="231F20"/>
          <w:w w:val="99"/>
        </w:rPr>
        <w:t>in</w:t>
      </w:r>
      <w:r>
        <w:rPr>
          <w:color w:val="231F20"/>
          <w:spacing w:val="-3"/>
        </w:rPr>
        <w:t> </w:t>
      </w:r>
      <w:r>
        <w:rPr>
          <w:color w:val="231F20"/>
          <w:spacing w:val="-1"/>
          <w:w w:val="109"/>
        </w:rPr>
        <w:t>2</w:t>
      </w:r>
      <w:r>
        <w:rPr>
          <w:color w:val="231F20"/>
          <w:spacing w:val="4"/>
          <w:w w:val="109"/>
        </w:rPr>
        <w:t>0</w:t>
      </w:r>
      <w:r>
        <w:rPr>
          <w:color w:val="231F20"/>
          <w:spacing w:val="2"/>
          <w:w w:val="109"/>
        </w:rPr>
        <w:t>0</w:t>
      </w:r>
      <w:r>
        <w:rPr>
          <w:color w:val="231F20"/>
          <w:w w:val="96"/>
        </w:rPr>
        <w:t>3, </w:t>
      </w:r>
      <w:r>
        <w:rPr>
          <w:color w:val="231F20"/>
          <w:w w:val="105"/>
        </w:rPr>
        <w:t>he was appointed Market Head of Nestlé Japan. As Executive Vice President of Operations since </w:t>
      </w:r>
      <w:r>
        <w:rPr>
          <w:color w:val="231F20"/>
          <w:spacing w:val="-4"/>
          <w:w w:val="105"/>
        </w:rPr>
        <w:t>2007, </w:t>
      </w:r>
      <w:r>
        <w:rPr>
          <w:color w:val="231F20"/>
          <w:w w:val="105"/>
        </w:rPr>
        <w:t>José Lopez is responsible for Procurement,</w:t>
      </w:r>
      <w:r>
        <w:rPr>
          <w:color w:val="231F20"/>
          <w:spacing w:val="-43"/>
          <w:w w:val="105"/>
        </w:rPr>
        <w:t> </w:t>
      </w:r>
      <w:r>
        <w:rPr>
          <w:color w:val="231F20"/>
          <w:w w:val="105"/>
        </w:rPr>
        <w:t>Manufacturing,</w:t>
      </w:r>
    </w:p>
    <w:p>
      <w:pPr>
        <w:pStyle w:val="BodyText"/>
        <w:spacing w:line="276" w:lineRule="auto" w:before="108"/>
        <w:ind w:left="106" w:right="588"/>
      </w:pPr>
      <w:r>
        <w:rPr/>
        <w:br w:type="column"/>
      </w:r>
      <w:r>
        <w:rPr>
          <w:color w:val="231F20"/>
          <w:w w:val="105"/>
        </w:rPr>
        <w:t>Supply Chain, Quality Management, Health &amp; Safety, Environment and Engineering. As of 2008, he has also been </w:t>
      </w:r>
      <w:r>
        <w:rPr>
          <w:color w:val="231F20"/>
          <w:w w:val="99"/>
        </w:rPr>
        <w:t>in</w:t>
      </w:r>
      <w:r>
        <w:rPr>
          <w:color w:val="231F20"/>
        </w:rPr>
        <w:t> </w:t>
      </w:r>
      <w:r>
        <w:rPr>
          <w:color w:val="231F20"/>
          <w:w w:val="108"/>
        </w:rPr>
        <w:t>ch</w:t>
      </w:r>
      <w:r>
        <w:rPr>
          <w:color w:val="231F20"/>
          <w:w w:val="101"/>
        </w:rPr>
        <w:t>a</w:t>
      </w:r>
      <w:r>
        <w:rPr>
          <w:color w:val="231F20"/>
          <w:w w:val="90"/>
        </w:rPr>
        <w:t>r</w:t>
      </w:r>
      <w:r>
        <w:rPr>
          <w:color w:val="231F20"/>
          <w:w w:val="120"/>
        </w:rPr>
        <w:t>g</w:t>
      </w:r>
      <w:r>
        <w:rPr>
          <w:color w:val="231F20"/>
          <w:w w:val="100"/>
        </w:rPr>
        <w:t>e</w:t>
      </w:r>
      <w:r>
        <w:rPr>
          <w:color w:val="231F20"/>
        </w:rPr>
        <w:t> </w:t>
      </w:r>
      <w:r>
        <w:rPr>
          <w:color w:val="231F20"/>
          <w:w w:val="109"/>
        </w:rPr>
        <w:t>o</w:t>
      </w:r>
      <w:r>
        <w:rPr>
          <w:color w:val="231F20"/>
          <w:w w:val="88"/>
        </w:rPr>
        <w:t>f</w:t>
      </w:r>
      <w:r>
        <w:rPr>
          <w:color w:val="231F20"/>
        </w:rPr>
        <w:t> </w:t>
      </w:r>
      <w:r>
        <w:rPr>
          <w:color w:val="231F20"/>
          <w:w w:val="108"/>
        </w:rPr>
        <w:t>G</w:t>
      </w:r>
      <w:r>
        <w:rPr>
          <w:color w:val="231F20"/>
          <w:w w:val="113"/>
        </w:rPr>
        <w:t>L</w:t>
      </w:r>
      <w:r>
        <w:rPr>
          <w:color w:val="231F20"/>
          <w:w w:val="113"/>
        </w:rPr>
        <w:t>O</w:t>
      </w:r>
      <w:r>
        <w:rPr>
          <w:color w:val="231F20"/>
          <w:w w:val="119"/>
        </w:rPr>
        <w:t>B</w:t>
      </w:r>
      <w:r>
        <w:rPr>
          <w:color w:val="231F20"/>
          <w:w w:val="115"/>
        </w:rPr>
        <w:t>E</w:t>
      </w:r>
      <w:r>
        <w:rPr>
          <w:color w:val="231F20"/>
        </w:rPr>
        <w:t> </w:t>
      </w:r>
      <w:r>
        <w:rPr>
          <w:color w:val="231F20"/>
          <w:w w:val="81"/>
        </w:rPr>
        <w:t>(</w:t>
      </w:r>
      <w:r>
        <w:rPr>
          <w:color w:val="231F20"/>
          <w:w w:val="108"/>
        </w:rPr>
        <w:t>G</w:t>
      </w:r>
      <w:r>
        <w:rPr>
          <w:color w:val="231F20"/>
          <w:w w:val="81"/>
        </w:rPr>
        <w:t>l</w:t>
      </w:r>
      <w:r>
        <w:rPr>
          <w:color w:val="231F20"/>
          <w:w w:val="109"/>
        </w:rPr>
        <w:t>o</w:t>
      </w:r>
      <w:r>
        <w:rPr>
          <w:color w:val="231F20"/>
          <w:w w:val="107"/>
        </w:rPr>
        <w:t>b</w:t>
      </w:r>
      <w:r>
        <w:rPr>
          <w:color w:val="231F20"/>
          <w:w w:val="93"/>
        </w:rPr>
        <w:t>al</w:t>
      </w:r>
      <w:r>
        <w:rPr>
          <w:color w:val="231F20"/>
        </w:rPr>
        <w:t> </w:t>
      </w:r>
      <w:r>
        <w:rPr>
          <w:color w:val="231F20"/>
          <w:w w:val="119"/>
        </w:rPr>
        <w:t>B</w:t>
      </w:r>
      <w:r>
        <w:rPr>
          <w:color w:val="231F20"/>
          <w:w w:val="108"/>
        </w:rPr>
        <w:t>u</w:t>
      </w:r>
      <w:r>
        <w:rPr>
          <w:color w:val="231F20"/>
          <w:w w:val="121"/>
        </w:rPr>
        <w:t>s</w:t>
      </w:r>
      <w:r>
        <w:rPr>
          <w:color w:val="231F20"/>
          <w:w w:val="99"/>
        </w:rPr>
        <w:t>in</w:t>
      </w:r>
      <w:r>
        <w:rPr>
          <w:color w:val="231F20"/>
          <w:w w:val="100"/>
        </w:rPr>
        <w:t>e</w:t>
      </w:r>
      <w:r>
        <w:rPr>
          <w:color w:val="231F20"/>
          <w:w w:val="121"/>
        </w:rPr>
        <w:t>ss</w:t>
      </w:r>
      <w:r>
        <w:rPr>
          <w:color w:val="231F20"/>
        </w:rPr>
        <w:t> </w:t>
      </w:r>
      <w:r>
        <w:rPr>
          <w:color w:val="231F20"/>
          <w:w w:val="115"/>
        </w:rPr>
        <w:t>E</w:t>
      </w:r>
      <w:r>
        <w:rPr>
          <w:color w:val="231F20"/>
          <w:w w:val="103"/>
        </w:rPr>
        <w:t>x</w:t>
      </w:r>
      <w:r>
        <w:rPr>
          <w:color w:val="231F20"/>
          <w:w w:val="108"/>
        </w:rPr>
        <w:t>c</w:t>
      </w:r>
      <w:r>
        <w:rPr>
          <w:color w:val="231F20"/>
          <w:w w:val="100"/>
        </w:rPr>
        <w:t>e</w:t>
      </w:r>
      <w:r>
        <w:rPr>
          <w:color w:val="231F20"/>
          <w:w w:val="81"/>
        </w:rPr>
        <w:t>ll</w:t>
      </w:r>
      <w:r>
        <w:rPr>
          <w:color w:val="231F20"/>
          <w:w w:val="100"/>
        </w:rPr>
        <w:t>e</w:t>
      </w:r>
      <w:r>
        <w:rPr>
          <w:color w:val="231F20"/>
          <w:w w:val="108"/>
        </w:rPr>
        <w:t>nc</w:t>
      </w:r>
      <w:r>
        <w:rPr>
          <w:color w:val="231F20"/>
          <w:w w:val="100"/>
        </w:rPr>
        <w:t>e</w:t>
      </w:r>
      <w:r>
        <w:rPr>
          <w:color w:val="231F20"/>
          <w:w w:val="78"/>
        </w:rPr>
        <w:t>;</w:t>
      </w:r>
      <w:r>
        <w:rPr>
          <w:color w:val="231F20"/>
        </w:rPr>
        <w:t> </w:t>
      </w:r>
      <w:r>
        <w:rPr>
          <w:color w:val="231F20"/>
          <w:w w:val="101"/>
        </w:rPr>
        <w:t>I</w:t>
      </w:r>
      <w:r>
        <w:rPr>
          <w:color w:val="231F20"/>
          <w:w w:val="131"/>
        </w:rPr>
        <w:t>S</w:t>
      </w:r>
      <w:r>
        <w:rPr>
          <w:color w:val="231F20"/>
          <w:w w:val="57"/>
        </w:rPr>
        <w:t>/</w:t>
      </w:r>
      <w:r>
        <w:rPr>
          <w:color w:val="231F20"/>
          <w:w w:val="101"/>
        </w:rPr>
        <w:t>I</w:t>
      </w:r>
      <w:r>
        <w:rPr>
          <w:color w:val="231F20"/>
          <w:w w:val="96"/>
        </w:rPr>
        <w:t>T</w:t>
      </w:r>
      <w:r>
        <w:rPr>
          <w:color w:val="231F20"/>
          <w:w w:val="81"/>
        </w:rPr>
        <w:t>)</w:t>
      </w:r>
      <w:r>
        <w:rPr>
          <w:color w:val="231F20"/>
          <w:w w:val="78"/>
        </w:rPr>
        <w:t>.</w:t>
      </w:r>
    </w:p>
    <w:p>
      <w:pPr>
        <w:pStyle w:val="BodyText"/>
        <w:spacing w:line="276" w:lineRule="auto"/>
        <w:ind w:left="106" w:right="842" w:firstLine="226"/>
      </w:pPr>
      <w:r>
        <w:rPr>
          <w:color w:val="231F20"/>
        </w:rPr>
        <w:t>As a representative of Nestlé, José Lopez is a member of the Supervisory Board of Cereal Partners Worldwide, Switzerland.</w:t>
      </w:r>
    </w:p>
    <w:p>
      <w:pPr>
        <w:pStyle w:val="BodyText"/>
        <w:spacing w:line="276" w:lineRule="auto"/>
        <w:ind w:left="106" w:right="723" w:firstLine="226"/>
      </w:pPr>
      <w:r>
        <w:rPr>
          <w:color w:val="231F20"/>
          <w:w w:val="105"/>
        </w:rPr>
        <w:t>Presently, José Lopez is member of the Management Board of GS1 (formerly EAN International) in Belgium and a member of the Advisory Board of the University of</w:t>
      </w:r>
    </w:p>
    <w:p>
      <w:pPr>
        <w:pStyle w:val="BodyText"/>
        <w:spacing w:line="208" w:lineRule="exact"/>
        <w:ind w:left="106"/>
      </w:pPr>
      <w:r>
        <w:rPr>
          <w:color w:val="231F20"/>
        </w:rPr>
        <w:t>Cambridge’s Programme for Sustainability Leadership (CPSL).</w:t>
      </w:r>
    </w:p>
    <w:p>
      <w:pPr>
        <w:pStyle w:val="BodyText"/>
        <w:rPr>
          <w:sz w:val="22"/>
        </w:rPr>
      </w:pPr>
    </w:p>
    <w:p>
      <w:pPr>
        <w:pStyle w:val="BodyText"/>
        <w:spacing w:before="10"/>
        <w:rPr>
          <w:sz w:val="21"/>
        </w:rPr>
      </w:pPr>
    </w:p>
    <w:p>
      <w:pPr>
        <w:pStyle w:val="Heading3"/>
        <w:ind w:left="106"/>
      </w:pPr>
      <w:r>
        <w:rPr/>
        <w:drawing>
          <wp:anchor distT="0" distB="0" distL="0" distR="0" allowOverlap="1" layoutInCell="1" locked="0" behindDoc="0" simplePos="0" relativeHeight="2104">
            <wp:simplePos x="0" y="0"/>
            <wp:positionH relativeFrom="page">
              <wp:posOffset>5939993</wp:posOffset>
            </wp:positionH>
            <wp:positionV relativeFrom="paragraph">
              <wp:posOffset>107323</wp:posOffset>
            </wp:positionV>
            <wp:extent cx="971994" cy="914400"/>
            <wp:effectExtent l="0" t="0" r="0" b="0"/>
            <wp:wrapNone/>
            <wp:docPr id="35" name="image33.png" descr=""/>
            <wp:cNvGraphicFramePr>
              <a:graphicFrameLocks noChangeAspect="1"/>
            </wp:cNvGraphicFramePr>
            <a:graphic>
              <a:graphicData uri="http://schemas.openxmlformats.org/drawingml/2006/picture">
                <pic:pic>
                  <pic:nvPicPr>
                    <pic:cNvPr id="36" name="image33.png"/>
                    <pic:cNvPicPr/>
                  </pic:nvPicPr>
                  <pic:blipFill>
                    <a:blip r:embed="rId60" cstate="print"/>
                    <a:stretch>
                      <a:fillRect/>
                    </a:stretch>
                  </pic:blipFill>
                  <pic:spPr>
                    <a:xfrm>
                      <a:off x="0" y="0"/>
                      <a:ext cx="971994" cy="914400"/>
                    </a:xfrm>
                    <a:prstGeom prst="rect">
                      <a:avLst/>
                    </a:prstGeom>
                  </pic:spPr>
                </pic:pic>
              </a:graphicData>
            </a:graphic>
          </wp:anchor>
        </w:drawing>
      </w:r>
      <w:r>
        <w:rPr>
          <w:color w:val="231F20"/>
          <w:w w:val="105"/>
        </w:rPr>
        <w:t>Laurent Freixe</w:t>
      </w:r>
    </w:p>
    <w:p>
      <w:pPr>
        <w:pStyle w:val="BodyText"/>
        <w:spacing w:line="276" w:lineRule="auto" w:before="31"/>
        <w:ind w:left="106" w:right="2384"/>
      </w:pPr>
      <w:r>
        <w:rPr>
          <w:color w:val="231F20"/>
        </w:rPr>
        <w:t>Laurent Freixe joined Nestlé France in 1986 as a sales representative and got increasing responsibilities in the  field of sales and marketing. In 1999, he became a member of the Management Committee and was  nominated  Head of the Nutrition Division. In</w:t>
      </w:r>
      <w:r>
        <w:rPr>
          <w:color w:val="231F20"/>
          <w:spacing w:val="6"/>
        </w:rPr>
        <w:t> </w:t>
      </w:r>
      <w:r>
        <w:rPr>
          <w:color w:val="231F20"/>
        </w:rPr>
        <w:t>2003,</w:t>
      </w:r>
    </w:p>
    <w:p>
      <w:pPr>
        <w:pStyle w:val="BodyText"/>
        <w:spacing w:line="276" w:lineRule="auto"/>
        <w:ind w:left="106" w:right="590"/>
      </w:pPr>
      <w:r>
        <w:rPr>
          <w:color w:val="231F20"/>
        </w:rPr>
        <w:t>Laurent Freixe became Market Head of Nestlé Hungary. In January 2007, he was appointed Market Head of the Iberian Region taking responsibility for Spain and Portugal. As</w:t>
      </w:r>
    </w:p>
    <w:p>
      <w:pPr>
        <w:pStyle w:val="BodyText"/>
        <w:spacing w:line="276" w:lineRule="auto"/>
        <w:ind w:left="106" w:right="590"/>
      </w:pPr>
      <w:r>
        <w:rPr>
          <w:color w:val="231F20"/>
        </w:rPr>
        <w:t>of November 2008, Laurent Freixe has been serving as Executive Vice President in charge of Zone</w:t>
      </w:r>
      <w:r>
        <w:rPr>
          <w:color w:val="231F20"/>
          <w:spacing w:val="51"/>
        </w:rPr>
        <w:t> </w:t>
      </w:r>
      <w:r>
        <w:rPr>
          <w:color w:val="231F20"/>
        </w:rPr>
        <w:t>Europe.</w:t>
      </w:r>
    </w:p>
    <w:p>
      <w:pPr>
        <w:pStyle w:val="BodyText"/>
        <w:spacing w:line="276" w:lineRule="auto"/>
        <w:ind w:left="106" w:right="644" w:firstLine="226"/>
      </w:pPr>
      <w:r>
        <w:rPr>
          <w:color w:val="231F20"/>
        </w:rPr>
        <w:t>As a representative of Nestlé, he is Chairman of Beverage Partners Worldwide S.A. in Switzerland as well as Board member of Lactalis Nestlé Produits Frais S.A.S.  in  France and member of the Supervisory Board of Cereal Partners Worldwide,</w:t>
      </w:r>
      <w:r>
        <w:rPr>
          <w:color w:val="231F20"/>
          <w:spacing w:val="-3"/>
        </w:rPr>
        <w:t> </w:t>
      </w:r>
      <w:r>
        <w:rPr>
          <w:color w:val="231F20"/>
        </w:rPr>
        <w:t>Switzerland.</w:t>
      </w:r>
    </w:p>
    <w:p>
      <w:pPr>
        <w:pStyle w:val="BodyText"/>
        <w:spacing w:line="276" w:lineRule="auto"/>
        <w:ind w:left="106" w:right="593" w:firstLine="226"/>
      </w:pPr>
      <w:r>
        <w:rPr>
          <w:color w:val="231F20"/>
          <w:w w:val="105"/>
        </w:rPr>
        <w:t>In addition, Laurent Freixe is a member of the Domestic and Foreign Investment Advisory Council of Ukraine, Vice Chairman of Association des Industries de Marque (AIM) in Belgium, member of the Board of FoodDrinkEurope and member of the Executive Board of ECR Europe in Belgium.</w:t>
      </w:r>
    </w:p>
    <w:p>
      <w:pPr>
        <w:pStyle w:val="BodyText"/>
        <w:rPr>
          <w:sz w:val="22"/>
        </w:rPr>
      </w:pPr>
    </w:p>
    <w:p>
      <w:pPr>
        <w:pStyle w:val="BodyText"/>
        <w:spacing w:before="7"/>
      </w:pPr>
    </w:p>
    <w:p>
      <w:pPr>
        <w:pStyle w:val="Heading3"/>
        <w:spacing w:before="1"/>
        <w:ind w:left="106"/>
      </w:pPr>
      <w:r>
        <w:rPr/>
        <w:drawing>
          <wp:anchor distT="0" distB="0" distL="0" distR="0" allowOverlap="1" layoutInCell="1" locked="0" behindDoc="0" simplePos="0" relativeHeight="2128">
            <wp:simplePos x="0" y="0"/>
            <wp:positionH relativeFrom="page">
              <wp:posOffset>5939993</wp:posOffset>
            </wp:positionH>
            <wp:positionV relativeFrom="paragraph">
              <wp:posOffset>107945</wp:posOffset>
            </wp:positionV>
            <wp:extent cx="971994" cy="914412"/>
            <wp:effectExtent l="0" t="0" r="0" b="0"/>
            <wp:wrapNone/>
            <wp:docPr id="37" name="image34.png" descr=""/>
            <wp:cNvGraphicFramePr>
              <a:graphicFrameLocks noChangeAspect="1"/>
            </wp:cNvGraphicFramePr>
            <a:graphic>
              <a:graphicData uri="http://schemas.openxmlformats.org/drawingml/2006/picture">
                <pic:pic>
                  <pic:nvPicPr>
                    <pic:cNvPr id="38" name="image34.png"/>
                    <pic:cNvPicPr/>
                  </pic:nvPicPr>
                  <pic:blipFill>
                    <a:blip r:embed="rId61" cstate="print"/>
                    <a:stretch>
                      <a:fillRect/>
                    </a:stretch>
                  </pic:blipFill>
                  <pic:spPr>
                    <a:xfrm>
                      <a:off x="0" y="0"/>
                      <a:ext cx="971994" cy="914412"/>
                    </a:xfrm>
                    <a:prstGeom prst="rect">
                      <a:avLst/>
                    </a:prstGeom>
                  </pic:spPr>
                </pic:pic>
              </a:graphicData>
            </a:graphic>
          </wp:anchor>
        </w:drawing>
      </w:r>
      <w:r>
        <w:rPr>
          <w:color w:val="231F20"/>
          <w:w w:val="110"/>
        </w:rPr>
        <w:t>Chris Johnson</w:t>
      </w:r>
    </w:p>
    <w:p>
      <w:pPr>
        <w:pStyle w:val="BodyText"/>
        <w:spacing w:line="276" w:lineRule="auto" w:before="31"/>
        <w:ind w:left="106" w:right="2428"/>
      </w:pPr>
      <w:r>
        <w:rPr>
          <w:color w:val="231F20"/>
        </w:rPr>
        <w:t>Chris Johnson started his career with Nestlé in 1983 as a marketing trainee at Carnation Inc. During his first eight years, he took on increasing responsibilities mainly in the commercial area at Nestlé USA and then, from </w:t>
      </w:r>
      <w:r>
        <w:rPr>
          <w:color w:val="231F20"/>
          <w:spacing w:val="-5"/>
        </w:rPr>
        <w:t>1991, </w:t>
      </w:r>
      <w:r>
        <w:rPr>
          <w:color w:val="231F20"/>
        </w:rPr>
        <w:t>in Japan. Senior</w:t>
      </w:r>
      <w:r>
        <w:rPr>
          <w:color w:val="231F20"/>
          <w:spacing w:val="24"/>
        </w:rPr>
        <w:t> </w:t>
      </w:r>
      <w:r>
        <w:rPr>
          <w:color w:val="231F20"/>
        </w:rPr>
        <w:t>Area</w:t>
      </w:r>
    </w:p>
    <w:p>
      <w:pPr>
        <w:pStyle w:val="BodyText"/>
        <w:spacing w:line="276" w:lineRule="auto"/>
        <w:ind w:left="106" w:right="590"/>
      </w:pPr>
      <w:r>
        <w:rPr>
          <w:color w:val="231F20"/>
        </w:rPr>
        <w:t>Manager for the Asian region of Nestlé Waters in Paris from 1995, he was then transferred to Taiwan in 1998 as Market Head. From 2000, Chris Johnson led the worldwide development and implementation of GLOBE (Global </w:t>
      </w:r>
      <w:r>
        <w:rPr>
          <w:color w:val="231F20"/>
          <w:w w:val="119"/>
        </w:rPr>
        <w:t>B</w:t>
      </w:r>
      <w:r>
        <w:rPr>
          <w:color w:val="231F20"/>
          <w:w w:val="108"/>
        </w:rPr>
        <w:t>u</w:t>
      </w:r>
      <w:r>
        <w:rPr>
          <w:color w:val="231F20"/>
          <w:w w:val="121"/>
        </w:rPr>
        <w:t>s</w:t>
      </w:r>
      <w:r>
        <w:rPr>
          <w:color w:val="231F20"/>
          <w:w w:val="99"/>
        </w:rPr>
        <w:t>in</w:t>
      </w:r>
      <w:r>
        <w:rPr>
          <w:color w:val="231F20"/>
          <w:w w:val="100"/>
        </w:rPr>
        <w:t>e</w:t>
      </w:r>
      <w:r>
        <w:rPr>
          <w:color w:val="231F20"/>
          <w:w w:val="121"/>
        </w:rPr>
        <w:t>ss</w:t>
      </w:r>
      <w:r>
        <w:rPr>
          <w:color w:val="231F20"/>
        </w:rPr>
        <w:t> </w:t>
      </w:r>
      <w:r>
        <w:rPr>
          <w:color w:val="231F20"/>
          <w:w w:val="115"/>
        </w:rPr>
        <w:t>E</w:t>
      </w:r>
      <w:r>
        <w:rPr>
          <w:color w:val="231F20"/>
          <w:w w:val="103"/>
        </w:rPr>
        <w:t>x</w:t>
      </w:r>
      <w:r>
        <w:rPr>
          <w:color w:val="231F20"/>
          <w:w w:val="108"/>
        </w:rPr>
        <w:t>c</w:t>
      </w:r>
      <w:r>
        <w:rPr>
          <w:color w:val="231F20"/>
          <w:w w:val="100"/>
        </w:rPr>
        <w:t>e</w:t>
      </w:r>
      <w:r>
        <w:rPr>
          <w:color w:val="231F20"/>
          <w:w w:val="81"/>
        </w:rPr>
        <w:t>ll</w:t>
      </w:r>
      <w:r>
        <w:rPr>
          <w:color w:val="231F20"/>
          <w:w w:val="100"/>
        </w:rPr>
        <w:t>e</w:t>
      </w:r>
      <w:r>
        <w:rPr>
          <w:color w:val="231F20"/>
          <w:w w:val="108"/>
        </w:rPr>
        <w:t>nc</w:t>
      </w:r>
      <w:r>
        <w:rPr>
          <w:color w:val="231F20"/>
          <w:w w:val="100"/>
        </w:rPr>
        <w:t>e</w:t>
      </w:r>
      <w:r>
        <w:rPr>
          <w:color w:val="231F20"/>
          <w:w w:val="78"/>
        </w:rPr>
        <w:t>;</w:t>
      </w:r>
      <w:r>
        <w:rPr>
          <w:color w:val="231F20"/>
        </w:rPr>
        <w:t> </w:t>
      </w:r>
      <w:r>
        <w:rPr>
          <w:color w:val="231F20"/>
          <w:w w:val="101"/>
        </w:rPr>
        <w:t>I</w:t>
      </w:r>
      <w:r>
        <w:rPr>
          <w:color w:val="231F20"/>
          <w:w w:val="131"/>
        </w:rPr>
        <w:t>S</w:t>
      </w:r>
      <w:r>
        <w:rPr>
          <w:color w:val="231F20"/>
          <w:w w:val="57"/>
        </w:rPr>
        <w:t>/</w:t>
      </w:r>
      <w:r>
        <w:rPr>
          <w:color w:val="231F20"/>
          <w:w w:val="101"/>
        </w:rPr>
        <w:t>I</w:t>
      </w:r>
      <w:r>
        <w:rPr>
          <w:color w:val="231F20"/>
          <w:w w:val="96"/>
        </w:rPr>
        <w:t>T</w:t>
      </w:r>
      <w:r>
        <w:rPr>
          <w:color w:val="231F20"/>
          <w:w w:val="81"/>
        </w:rPr>
        <w:t>)</w:t>
      </w:r>
      <w:r>
        <w:rPr>
          <w:color w:val="231F20"/>
          <w:w w:val="78"/>
        </w:rPr>
        <w:t>,</w:t>
      </w:r>
      <w:r>
        <w:rPr>
          <w:color w:val="231F20"/>
        </w:rPr>
        <w:t> </w:t>
      </w:r>
      <w:r>
        <w:rPr>
          <w:color w:val="231F20"/>
          <w:w w:val="83"/>
        </w:rPr>
        <w:t>t</w:t>
      </w:r>
      <w:r>
        <w:rPr>
          <w:color w:val="231F20"/>
          <w:w w:val="108"/>
        </w:rPr>
        <w:t>h</w:t>
      </w:r>
      <w:r>
        <w:rPr>
          <w:color w:val="231F20"/>
          <w:w w:val="100"/>
        </w:rPr>
        <w:t>e</w:t>
      </w:r>
      <w:r>
        <w:rPr>
          <w:color w:val="231F20"/>
        </w:rPr>
        <w:t> </w:t>
      </w:r>
      <w:r>
        <w:rPr>
          <w:color w:val="231F20"/>
          <w:w w:val="131"/>
        </w:rPr>
        <w:t>S</w:t>
      </w:r>
      <w:r>
        <w:rPr>
          <w:color w:val="231F20"/>
          <w:w w:val="83"/>
        </w:rPr>
        <w:t>t</w:t>
      </w:r>
      <w:r>
        <w:rPr>
          <w:color w:val="231F20"/>
          <w:w w:val="90"/>
        </w:rPr>
        <w:t>r</w:t>
      </w:r>
      <w:r>
        <w:rPr>
          <w:color w:val="231F20"/>
          <w:w w:val="101"/>
        </w:rPr>
        <w:t>a</w:t>
      </w:r>
      <w:r>
        <w:rPr>
          <w:color w:val="231F20"/>
          <w:w w:val="83"/>
        </w:rPr>
        <w:t>t</w:t>
      </w:r>
      <w:r>
        <w:rPr>
          <w:color w:val="231F20"/>
          <w:w w:val="100"/>
        </w:rPr>
        <w:t>e</w:t>
      </w:r>
      <w:r>
        <w:rPr>
          <w:color w:val="231F20"/>
          <w:w w:val="107"/>
        </w:rPr>
        <w:t>gi</w:t>
      </w:r>
      <w:r>
        <w:rPr>
          <w:color w:val="231F20"/>
          <w:w w:val="108"/>
        </w:rPr>
        <w:t>c</w:t>
      </w:r>
      <w:r>
        <w:rPr>
          <w:color w:val="231F20"/>
        </w:rPr>
        <w:t> </w:t>
      </w:r>
      <w:r>
        <w:rPr>
          <w:color w:val="231F20"/>
          <w:w w:val="131"/>
        </w:rPr>
        <w:t>S</w:t>
      </w:r>
      <w:r>
        <w:rPr>
          <w:color w:val="231F20"/>
          <w:w w:val="108"/>
        </w:rPr>
        <w:t>u</w:t>
      </w:r>
      <w:r>
        <w:rPr>
          <w:color w:val="231F20"/>
          <w:w w:val="107"/>
        </w:rPr>
        <w:t>pp</w:t>
      </w:r>
      <w:r>
        <w:rPr>
          <w:color w:val="231F20"/>
          <w:w w:val="81"/>
        </w:rPr>
        <w:t>l</w:t>
      </w:r>
      <w:r>
        <w:rPr>
          <w:color w:val="231F20"/>
          <w:w w:val="105"/>
        </w:rPr>
        <w:t>y</w:t>
      </w:r>
      <w:r>
        <w:rPr>
          <w:color w:val="231F20"/>
        </w:rPr>
        <w:t> </w:t>
      </w:r>
      <w:r>
        <w:rPr>
          <w:color w:val="231F20"/>
          <w:w w:val="114"/>
        </w:rPr>
        <w:t>C</w:t>
      </w:r>
      <w:r>
        <w:rPr>
          <w:color w:val="231F20"/>
          <w:w w:val="108"/>
        </w:rPr>
        <w:t>h</w:t>
      </w:r>
      <w:r>
        <w:rPr>
          <w:color w:val="231F20"/>
          <w:w w:val="101"/>
        </w:rPr>
        <w:t>a</w:t>
      </w:r>
      <w:r>
        <w:rPr>
          <w:color w:val="231F20"/>
          <w:w w:val="99"/>
        </w:rPr>
        <w:t>in</w:t>
      </w:r>
      <w:r>
        <w:rPr>
          <w:color w:val="231F20"/>
        </w:rPr>
        <w:t> </w:t>
      </w:r>
      <w:r>
        <w:rPr>
          <w:color w:val="231F20"/>
          <w:w w:val="109"/>
        </w:rPr>
        <w:t>as </w:t>
      </w:r>
      <w:r>
        <w:rPr>
          <w:color w:val="231F20"/>
        </w:rPr>
        <w:t>well as eNestlé. He was appointed Deputy Executive Vice</w:t>
      </w:r>
    </w:p>
    <w:p>
      <w:pPr>
        <w:spacing w:after="0" w:line="276" w:lineRule="auto"/>
        <w:sectPr>
          <w:type w:val="continuous"/>
          <w:pgSz w:w="11910" w:h="14750"/>
          <w:pgMar w:top="540" w:bottom="280" w:left="460" w:right="460"/>
          <w:cols w:num="2" w:equalWidth="0">
            <w:col w:w="5193" w:space="79"/>
            <w:col w:w="5718"/>
          </w:cols>
        </w:sectPr>
      </w:pPr>
    </w:p>
    <w:p>
      <w:pPr>
        <w:spacing w:before="86"/>
        <w:ind w:left="560" w:right="0" w:firstLine="0"/>
        <w:jc w:val="left"/>
        <w:rPr>
          <w:b/>
          <w:sz w:val="15"/>
        </w:rPr>
      </w:pPr>
      <w:r>
        <w:rPr>
          <w:b/>
          <w:color w:val="586670"/>
          <w:w w:val="105"/>
          <w:sz w:val="15"/>
        </w:rPr>
        <w:t>Executive Board</w:t>
      </w:r>
    </w:p>
    <w:p>
      <w:pPr>
        <w:pStyle w:val="BodyText"/>
        <w:rPr>
          <w:b/>
          <w:sz w:val="20"/>
        </w:rPr>
      </w:pPr>
    </w:p>
    <w:p>
      <w:pPr>
        <w:pStyle w:val="BodyText"/>
        <w:rPr>
          <w:b/>
          <w:sz w:val="20"/>
        </w:rPr>
      </w:pPr>
    </w:p>
    <w:p>
      <w:pPr>
        <w:pStyle w:val="BodyText"/>
        <w:spacing w:before="1"/>
        <w:rPr>
          <w:b/>
          <w:sz w:val="16"/>
        </w:rPr>
      </w:pPr>
    </w:p>
    <w:p>
      <w:pPr>
        <w:spacing w:after="0"/>
        <w:rPr>
          <w:sz w:val="16"/>
        </w:rPr>
        <w:sectPr>
          <w:headerReference w:type="default" r:id="rId62"/>
          <w:pgSz w:w="11910" w:h="14750"/>
          <w:pgMar w:header="0" w:footer="509" w:top="580" w:bottom="700" w:left="460" w:right="460"/>
        </w:sectPr>
      </w:pPr>
    </w:p>
    <w:p>
      <w:pPr>
        <w:pStyle w:val="BodyText"/>
        <w:spacing w:line="276" w:lineRule="auto" w:before="106"/>
        <w:ind w:left="560" w:right="388"/>
      </w:pPr>
      <w:r>
        <w:rPr>
          <w:color w:val="231F20"/>
        </w:rPr>
        <w:t>President in April </w:t>
      </w:r>
      <w:r>
        <w:rPr>
          <w:color w:val="231F20"/>
          <w:spacing w:val="-3"/>
        </w:rPr>
        <w:t>2001, </w:t>
      </w:r>
      <w:r>
        <w:rPr>
          <w:color w:val="231F20"/>
        </w:rPr>
        <w:t>and later moved back to Japan in 2007 as Market Head. As of January </w:t>
      </w:r>
      <w:r>
        <w:rPr>
          <w:color w:val="231F20"/>
          <w:spacing w:val="-8"/>
        </w:rPr>
        <w:t>2011, </w:t>
      </w:r>
      <w:r>
        <w:rPr>
          <w:color w:val="231F20"/>
        </w:rPr>
        <w:t>Chris Johnson has been serving as Executive Vice President in charge    of Zone</w:t>
      </w:r>
      <w:r>
        <w:rPr>
          <w:color w:val="231F20"/>
          <w:spacing w:val="-4"/>
        </w:rPr>
        <w:t> </w:t>
      </w:r>
      <w:r>
        <w:rPr>
          <w:color w:val="231F20"/>
        </w:rPr>
        <w:t>Americas.</w:t>
      </w:r>
    </w:p>
    <w:p>
      <w:pPr>
        <w:pStyle w:val="BodyText"/>
        <w:spacing w:line="276" w:lineRule="auto"/>
        <w:ind w:left="560" w:right="187" w:firstLine="226"/>
      </w:pPr>
      <w:r>
        <w:rPr>
          <w:color w:val="231F20"/>
        </w:rPr>
        <w:t>As a representative of Nestlé, Chris Johnson is </w:t>
      </w:r>
      <w:r>
        <w:rPr>
          <w:color w:val="231F20"/>
          <w:spacing w:val="2"/>
        </w:rPr>
        <w:t>Co- </w:t>
      </w:r>
      <w:r>
        <w:rPr>
          <w:color w:val="231F20"/>
        </w:rPr>
        <w:t>Chairman of the Supervisory Board of Dairy Partners  Americas and a member of the Supervisory Board of Cereal Partners Worldwide,</w:t>
      </w:r>
      <w:r>
        <w:rPr>
          <w:color w:val="231F20"/>
          <w:spacing w:val="-3"/>
        </w:rPr>
        <w:t> </w:t>
      </w:r>
      <w:r>
        <w:rPr>
          <w:color w:val="231F20"/>
        </w:rPr>
        <w:t>Switzerland.</w:t>
      </w:r>
    </w:p>
    <w:p>
      <w:pPr>
        <w:pStyle w:val="BodyText"/>
        <w:spacing w:line="276" w:lineRule="auto"/>
        <w:ind w:left="560" w:right="17" w:firstLine="226"/>
      </w:pPr>
      <w:r>
        <w:rPr>
          <w:color w:val="231F20"/>
          <w:w w:val="105"/>
        </w:rPr>
        <w:t>In addition, Chris Johnson is a Board member of the Swiss-Latin American Chamber of Commerce and Treasurer of the Swiss-American Chamber of Commerce.</w:t>
      </w:r>
    </w:p>
    <w:p>
      <w:pPr>
        <w:pStyle w:val="BodyText"/>
        <w:rPr>
          <w:sz w:val="22"/>
        </w:rPr>
      </w:pPr>
    </w:p>
    <w:p>
      <w:pPr>
        <w:pStyle w:val="BodyText"/>
        <w:rPr>
          <w:sz w:val="19"/>
        </w:rPr>
      </w:pPr>
    </w:p>
    <w:p>
      <w:pPr>
        <w:pStyle w:val="Heading3"/>
      </w:pPr>
      <w:r>
        <w:rPr/>
        <w:drawing>
          <wp:anchor distT="0" distB="0" distL="0" distR="0" allowOverlap="1" layoutInCell="1" locked="0" behindDoc="0" simplePos="0" relativeHeight="2152">
            <wp:simplePos x="0" y="0"/>
            <wp:positionH relativeFrom="page">
              <wp:posOffset>2880004</wp:posOffset>
            </wp:positionH>
            <wp:positionV relativeFrom="paragraph">
              <wp:posOffset>107311</wp:posOffset>
            </wp:positionV>
            <wp:extent cx="971994" cy="914412"/>
            <wp:effectExtent l="0" t="0" r="0" b="0"/>
            <wp:wrapNone/>
            <wp:docPr id="39" name="image35.png" descr=""/>
            <wp:cNvGraphicFramePr>
              <a:graphicFrameLocks noChangeAspect="1"/>
            </wp:cNvGraphicFramePr>
            <a:graphic>
              <a:graphicData uri="http://schemas.openxmlformats.org/drawingml/2006/picture">
                <pic:pic>
                  <pic:nvPicPr>
                    <pic:cNvPr id="40" name="image35.png"/>
                    <pic:cNvPicPr/>
                  </pic:nvPicPr>
                  <pic:blipFill>
                    <a:blip r:embed="rId63" cstate="print"/>
                    <a:stretch>
                      <a:fillRect/>
                    </a:stretch>
                  </pic:blipFill>
                  <pic:spPr>
                    <a:xfrm>
                      <a:off x="0" y="0"/>
                      <a:ext cx="971994" cy="914412"/>
                    </a:xfrm>
                    <a:prstGeom prst="rect">
                      <a:avLst/>
                    </a:prstGeom>
                  </pic:spPr>
                </pic:pic>
              </a:graphicData>
            </a:graphic>
          </wp:anchor>
        </w:drawing>
      </w:r>
      <w:r>
        <w:rPr>
          <w:color w:val="231F20"/>
          <w:w w:val="110"/>
        </w:rPr>
        <w:t>Patrice Bula</w:t>
      </w:r>
    </w:p>
    <w:p>
      <w:pPr>
        <w:pStyle w:val="BodyText"/>
        <w:spacing w:line="276" w:lineRule="auto" w:before="31"/>
        <w:ind w:left="560" w:right="1829"/>
      </w:pPr>
      <w:r>
        <w:rPr>
          <w:color w:val="231F20"/>
        </w:rPr>
        <w:t>Patrice Bula joined Nestlé in 1980 and was entrusted with various responsibilities in Marketing and Sales  in Kenya, Japan and </w:t>
      </w:r>
      <w:r>
        <w:rPr>
          <w:color w:val="231F20"/>
          <w:spacing w:val="-3"/>
        </w:rPr>
        <w:t>Taiwan </w:t>
      </w:r>
      <w:r>
        <w:rPr>
          <w:color w:val="231F20"/>
        </w:rPr>
        <w:t>before being promoted to Market Head for </w:t>
      </w:r>
      <w:r>
        <w:rPr>
          <w:color w:val="231F20"/>
          <w:spacing w:val="-3"/>
        </w:rPr>
        <w:t>Taiwan </w:t>
      </w:r>
      <w:r>
        <w:rPr>
          <w:color w:val="231F20"/>
        </w:rPr>
        <w:t>in 1992, Market Head for Czech Republic in 1995, then Head for</w:t>
      </w:r>
      <w:r>
        <w:rPr>
          <w:color w:val="231F20"/>
          <w:spacing w:val="18"/>
        </w:rPr>
        <w:t> </w:t>
      </w:r>
      <w:r>
        <w:rPr>
          <w:color w:val="231F20"/>
        </w:rPr>
        <w:t>the</w:t>
      </w:r>
    </w:p>
    <w:p>
      <w:pPr>
        <w:pStyle w:val="BodyText"/>
        <w:spacing w:line="276" w:lineRule="auto"/>
        <w:ind w:left="560" w:right="212"/>
      </w:pPr>
      <w:r>
        <w:rPr>
          <w:color w:val="231F20"/>
        </w:rPr>
        <w:t>South and Eastern Africa Region in 1997. In 2000 he was appointed Head of Chocolate, Confectionery and Biscuits Strategic Business Unit based at Nestlé’s International Headquarters in Vevey. In October 2003, Patrice Bula was transferred as Market Head of Nestlé Germany and in August 2007 he took up the role as Market Head for the Greater China Region.</w:t>
      </w:r>
    </w:p>
    <w:p>
      <w:pPr>
        <w:pStyle w:val="BodyText"/>
        <w:spacing w:line="276" w:lineRule="auto"/>
        <w:ind w:left="560" w:right="187" w:firstLine="226"/>
      </w:pPr>
      <w:r>
        <w:rPr>
          <w:color w:val="231F20"/>
        </w:rPr>
        <w:t>As of May </w:t>
      </w:r>
      <w:r>
        <w:rPr>
          <w:color w:val="231F20"/>
          <w:spacing w:val="-4"/>
        </w:rPr>
        <w:t>2010, </w:t>
      </w:r>
      <w:r>
        <w:rPr>
          <w:color w:val="231F20"/>
        </w:rPr>
        <w:t>Patrice Bula was appointed to the Executive Board of Nestlé S.A. as Executive Vice President with responsibility for the Strategic Business Units, Marketing and Sales, and</w:t>
      </w:r>
      <w:r>
        <w:rPr>
          <w:color w:val="231F20"/>
          <w:spacing w:val="5"/>
        </w:rPr>
        <w:t> </w:t>
      </w:r>
      <w:r>
        <w:rPr>
          <w:color w:val="231F20"/>
        </w:rPr>
        <w:t>Nespresso.</w:t>
      </w:r>
    </w:p>
    <w:p>
      <w:pPr>
        <w:pStyle w:val="BodyText"/>
        <w:spacing w:line="276" w:lineRule="auto"/>
        <w:ind w:left="560" w:firstLine="226"/>
      </w:pPr>
      <w:r>
        <w:rPr>
          <w:color w:val="231F20"/>
          <w:w w:val="105"/>
        </w:rPr>
        <w:t>As a representative of Nestlé, Patrice Bula serves as Board member of Beverage Partners Worldwide S.A., Switzerland, and is a Board member of both Yinlu Food Group Companies and Hsu Fu Chi Group Companies, China.</w:t>
      </w:r>
    </w:p>
    <w:p>
      <w:pPr>
        <w:pStyle w:val="BodyText"/>
        <w:rPr>
          <w:sz w:val="22"/>
        </w:rPr>
      </w:pPr>
    </w:p>
    <w:p>
      <w:pPr>
        <w:pStyle w:val="BodyText"/>
        <w:spacing w:before="8"/>
      </w:pPr>
    </w:p>
    <w:p>
      <w:pPr>
        <w:pStyle w:val="BodyText"/>
        <w:spacing w:line="276" w:lineRule="auto"/>
        <w:ind w:left="560" w:right="1934"/>
      </w:pPr>
      <w:r>
        <w:rPr/>
        <w:drawing>
          <wp:anchor distT="0" distB="0" distL="0" distR="0" allowOverlap="1" layoutInCell="1" locked="0" behindDoc="0" simplePos="0" relativeHeight="2176">
            <wp:simplePos x="0" y="0"/>
            <wp:positionH relativeFrom="page">
              <wp:posOffset>2880004</wp:posOffset>
            </wp:positionH>
            <wp:positionV relativeFrom="paragraph">
              <wp:posOffset>107323</wp:posOffset>
            </wp:positionV>
            <wp:extent cx="971994" cy="914400"/>
            <wp:effectExtent l="0" t="0" r="0" b="0"/>
            <wp:wrapNone/>
            <wp:docPr id="41" name="image36.png" descr=""/>
            <wp:cNvGraphicFramePr>
              <a:graphicFrameLocks noChangeAspect="1"/>
            </wp:cNvGraphicFramePr>
            <a:graphic>
              <a:graphicData uri="http://schemas.openxmlformats.org/drawingml/2006/picture">
                <pic:pic>
                  <pic:nvPicPr>
                    <pic:cNvPr id="42" name="image36.png"/>
                    <pic:cNvPicPr/>
                  </pic:nvPicPr>
                  <pic:blipFill>
                    <a:blip r:embed="rId64" cstate="print"/>
                    <a:stretch>
                      <a:fillRect/>
                    </a:stretch>
                  </pic:blipFill>
                  <pic:spPr>
                    <a:xfrm>
                      <a:off x="0" y="0"/>
                      <a:ext cx="971994" cy="914400"/>
                    </a:xfrm>
                    <a:prstGeom prst="rect">
                      <a:avLst/>
                    </a:prstGeom>
                  </pic:spPr>
                </pic:pic>
              </a:graphicData>
            </a:graphic>
          </wp:anchor>
        </w:drawing>
      </w:r>
      <w:r>
        <w:rPr>
          <w:b/>
          <w:color w:val="231F20"/>
        </w:rPr>
        <w:t>Doreswamy (Nandu) Nandkishore </w:t>
      </w:r>
      <w:r>
        <w:rPr>
          <w:color w:val="231F20"/>
        </w:rPr>
        <w:t>Nandu Nandkishore joined Nestlé as   a mid-career hire in 1989 in India where, over the next seven years, he took on increasing responsibilities, mainly in marketing. His international career started in 1996 when he was transferred to Indonesia to run the Confectionery Business</w:t>
      </w:r>
      <w:r>
        <w:rPr>
          <w:color w:val="231F20"/>
          <w:spacing w:val="8"/>
        </w:rPr>
        <w:t> </w:t>
      </w:r>
      <w:r>
        <w:rPr>
          <w:color w:val="231F20"/>
        </w:rPr>
        <w:t>Unit.</w:t>
      </w:r>
    </w:p>
    <w:p>
      <w:pPr>
        <w:pStyle w:val="BodyText"/>
        <w:spacing w:line="276" w:lineRule="auto"/>
        <w:ind w:left="560" w:right="26" w:firstLine="226"/>
      </w:pPr>
      <w:r>
        <w:rPr>
          <w:color w:val="231F20"/>
        </w:rPr>
        <w:t>In 2000, after a short period at Nestlé’s International Headquarters in </w:t>
      </w:r>
      <w:r>
        <w:rPr>
          <w:color w:val="231F20"/>
          <w:spacing w:val="-4"/>
        </w:rPr>
        <w:t>Vevey, </w:t>
      </w:r>
      <w:r>
        <w:rPr>
          <w:color w:val="231F20"/>
        </w:rPr>
        <w:t>Switzerland, he returned  to Indonesia where he was promoted to Market Head of Indonesia</w:t>
      </w:r>
      <w:r>
        <w:rPr>
          <w:color w:val="231F20"/>
          <w:spacing w:val="30"/>
        </w:rPr>
        <w:t> </w:t>
      </w:r>
      <w:r>
        <w:rPr>
          <w:color w:val="231F20"/>
        </w:rPr>
        <w:t>in</w:t>
      </w:r>
      <w:r>
        <w:rPr>
          <w:color w:val="231F20"/>
          <w:spacing w:val="31"/>
        </w:rPr>
        <w:t> </w:t>
      </w:r>
      <w:r>
        <w:rPr>
          <w:color w:val="231F20"/>
        </w:rPr>
        <w:t>March</w:t>
      </w:r>
      <w:r>
        <w:rPr>
          <w:color w:val="231F20"/>
          <w:spacing w:val="30"/>
        </w:rPr>
        <w:t> </w:t>
      </w:r>
      <w:r>
        <w:rPr>
          <w:color w:val="231F20"/>
        </w:rPr>
        <w:t>2003.</w:t>
      </w:r>
      <w:r>
        <w:rPr>
          <w:color w:val="231F20"/>
          <w:spacing w:val="31"/>
        </w:rPr>
        <w:t> </w:t>
      </w:r>
      <w:r>
        <w:rPr>
          <w:color w:val="231F20"/>
        </w:rPr>
        <w:t>In</w:t>
      </w:r>
      <w:r>
        <w:rPr>
          <w:color w:val="231F20"/>
          <w:spacing w:val="30"/>
        </w:rPr>
        <w:t> </w:t>
      </w:r>
      <w:r>
        <w:rPr>
          <w:color w:val="231F20"/>
        </w:rPr>
        <w:t>April</w:t>
      </w:r>
      <w:r>
        <w:rPr>
          <w:color w:val="231F20"/>
          <w:spacing w:val="31"/>
        </w:rPr>
        <w:t> </w:t>
      </w:r>
      <w:r>
        <w:rPr>
          <w:color w:val="231F20"/>
        </w:rPr>
        <w:t>2005,</w:t>
      </w:r>
      <w:r>
        <w:rPr>
          <w:color w:val="231F20"/>
          <w:spacing w:val="30"/>
        </w:rPr>
        <w:t> </w:t>
      </w:r>
      <w:r>
        <w:rPr>
          <w:color w:val="231F20"/>
        </w:rPr>
        <w:t>Nandu</w:t>
      </w:r>
      <w:r>
        <w:rPr>
          <w:color w:val="231F20"/>
          <w:spacing w:val="31"/>
        </w:rPr>
        <w:t> </w:t>
      </w:r>
      <w:r>
        <w:rPr>
          <w:color w:val="231F20"/>
        </w:rPr>
        <w:t>Nandkishore</w:t>
      </w:r>
    </w:p>
    <w:p>
      <w:pPr>
        <w:pStyle w:val="BodyText"/>
        <w:spacing w:line="276" w:lineRule="auto" w:before="106"/>
        <w:ind w:left="186" w:right="145"/>
      </w:pPr>
      <w:r>
        <w:rPr/>
        <w:br w:type="column"/>
      </w:r>
      <w:r>
        <w:rPr>
          <w:color w:val="231F20"/>
        </w:rPr>
        <w:t>became Market Head of Nestlé Philippines, which he ran   </w:t>
      </w:r>
      <w:r>
        <w:rPr>
          <w:color w:val="231F20"/>
          <w:spacing w:val="-3"/>
        </w:rPr>
        <w:t>until</w:t>
      </w:r>
      <w:r>
        <w:rPr>
          <w:color w:val="231F20"/>
          <w:spacing w:val="-7"/>
        </w:rPr>
        <w:t> </w:t>
      </w:r>
      <w:r>
        <w:rPr>
          <w:color w:val="231F20"/>
        </w:rPr>
        <w:t>October</w:t>
      </w:r>
      <w:r>
        <w:rPr>
          <w:color w:val="231F20"/>
          <w:spacing w:val="-6"/>
        </w:rPr>
        <w:t> </w:t>
      </w:r>
      <w:r>
        <w:rPr>
          <w:color w:val="231F20"/>
        </w:rPr>
        <w:t>2009,</w:t>
      </w:r>
      <w:r>
        <w:rPr>
          <w:color w:val="231F20"/>
          <w:spacing w:val="-6"/>
        </w:rPr>
        <w:t> </w:t>
      </w:r>
      <w:r>
        <w:rPr>
          <w:color w:val="231F20"/>
        </w:rPr>
        <w:t>when</w:t>
      </w:r>
      <w:r>
        <w:rPr>
          <w:color w:val="231F20"/>
          <w:spacing w:val="-7"/>
        </w:rPr>
        <w:t> </w:t>
      </w:r>
      <w:r>
        <w:rPr>
          <w:color w:val="231F20"/>
        </w:rPr>
        <w:t>he</w:t>
      </w:r>
      <w:r>
        <w:rPr>
          <w:color w:val="231F20"/>
          <w:spacing w:val="-6"/>
        </w:rPr>
        <w:t> </w:t>
      </w:r>
      <w:r>
        <w:rPr>
          <w:color w:val="231F20"/>
        </w:rPr>
        <w:t>returned</w:t>
      </w:r>
      <w:r>
        <w:rPr>
          <w:color w:val="231F20"/>
          <w:spacing w:val="-6"/>
        </w:rPr>
        <w:t> </w:t>
      </w:r>
      <w:r>
        <w:rPr>
          <w:color w:val="231F20"/>
        </w:rPr>
        <w:t>to</w:t>
      </w:r>
      <w:r>
        <w:rPr>
          <w:color w:val="231F20"/>
          <w:spacing w:val="-7"/>
        </w:rPr>
        <w:t> </w:t>
      </w:r>
      <w:r>
        <w:rPr>
          <w:color w:val="231F20"/>
        </w:rPr>
        <w:t>Nestlé’s</w:t>
      </w:r>
      <w:r>
        <w:rPr>
          <w:color w:val="231F20"/>
          <w:spacing w:val="-6"/>
        </w:rPr>
        <w:t> </w:t>
      </w:r>
      <w:r>
        <w:rPr>
          <w:color w:val="231F20"/>
          <w:spacing w:val="-3"/>
        </w:rPr>
        <w:t>International </w:t>
      </w:r>
      <w:r>
        <w:rPr>
          <w:color w:val="231F20"/>
        </w:rPr>
        <w:t>Headquarters in </w:t>
      </w:r>
      <w:r>
        <w:rPr>
          <w:color w:val="231F20"/>
          <w:spacing w:val="-4"/>
        </w:rPr>
        <w:t>Vevey, </w:t>
      </w:r>
      <w:r>
        <w:rPr>
          <w:color w:val="231F20"/>
        </w:rPr>
        <w:t>Switzerland, to take up the role of Global Business Head, Infant Nutrition at Nestlé</w:t>
      </w:r>
      <w:r>
        <w:rPr>
          <w:color w:val="231F20"/>
          <w:spacing w:val="44"/>
        </w:rPr>
        <w:t> </w:t>
      </w:r>
      <w:r>
        <w:rPr>
          <w:color w:val="231F20"/>
        </w:rPr>
        <w:t>Nutrition.</w:t>
      </w:r>
    </w:p>
    <w:p>
      <w:pPr>
        <w:pStyle w:val="BodyText"/>
        <w:spacing w:line="276" w:lineRule="auto"/>
        <w:ind w:left="186" w:right="31" w:firstLine="226"/>
      </w:pPr>
      <w:r>
        <w:rPr>
          <w:color w:val="231F20"/>
          <w:w w:val="105"/>
        </w:rPr>
        <w:t>In 2010, Nandu Nandkishore was nominated to the Executive Board of Nestlé S.A. as Deputy Executive Vice President in charge of Nestlé Nutrition </w:t>
      </w:r>
      <w:r>
        <w:rPr>
          <w:color w:val="231F20"/>
          <w:w w:val="115"/>
        </w:rPr>
        <w:t>– </w:t>
      </w:r>
      <w:r>
        <w:rPr>
          <w:color w:val="231F20"/>
          <w:w w:val="105"/>
        </w:rPr>
        <w:t>including Infant Nutrition, Performance Nutrition and Weight Management. As of October 2011, the Board of Directors appointed Nandu Nandkishore Executive Vice President responsible for Asia, Oceania, Africa and Middle East.</w:t>
      </w:r>
    </w:p>
    <w:p>
      <w:pPr>
        <w:pStyle w:val="BodyText"/>
        <w:spacing w:line="276" w:lineRule="auto"/>
        <w:ind w:left="186" w:right="304" w:firstLine="226"/>
      </w:pPr>
      <w:r>
        <w:rPr>
          <w:color w:val="231F20"/>
        </w:rPr>
        <w:t>As a representative of Nestlé, he is Chairman of the Supervisory Board of both P.T. Nestlé Indonesia and P.T.</w:t>
      </w:r>
    </w:p>
    <w:p>
      <w:pPr>
        <w:pStyle w:val="BodyText"/>
        <w:spacing w:line="208" w:lineRule="exact"/>
        <w:ind w:left="186"/>
      </w:pPr>
      <w:r>
        <w:rPr>
          <w:color w:val="231F20"/>
          <w:w w:val="105"/>
        </w:rPr>
        <w:t>Nestlé Indofood Citarasa Indonesia and a Board member</w:t>
      </w:r>
    </w:p>
    <w:p>
      <w:pPr>
        <w:pStyle w:val="BodyText"/>
        <w:spacing w:line="276" w:lineRule="auto" w:before="27"/>
        <w:ind w:left="186" w:right="145"/>
      </w:pPr>
      <w:r>
        <w:rPr>
          <w:color w:val="231F20"/>
          <w:w w:val="105"/>
        </w:rPr>
        <w:t>of</w:t>
      </w:r>
      <w:r>
        <w:rPr>
          <w:color w:val="231F20"/>
          <w:spacing w:val="-19"/>
          <w:w w:val="105"/>
        </w:rPr>
        <w:t> </w:t>
      </w:r>
      <w:r>
        <w:rPr>
          <w:color w:val="231F20"/>
          <w:w w:val="105"/>
        </w:rPr>
        <w:t>Hsu</w:t>
      </w:r>
      <w:r>
        <w:rPr>
          <w:color w:val="231F20"/>
          <w:spacing w:val="-18"/>
          <w:w w:val="105"/>
        </w:rPr>
        <w:t> </w:t>
      </w:r>
      <w:r>
        <w:rPr>
          <w:color w:val="231F20"/>
          <w:w w:val="105"/>
        </w:rPr>
        <w:t>Fu</w:t>
      </w:r>
      <w:r>
        <w:rPr>
          <w:color w:val="231F20"/>
          <w:spacing w:val="-19"/>
          <w:w w:val="105"/>
        </w:rPr>
        <w:t> </w:t>
      </w:r>
      <w:r>
        <w:rPr>
          <w:color w:val="231F20"/>
          <w:w w:val="105"/>
        </w:rPr>
        <w:t>Chi</w:t>
      </w:r>
      <w:r>
        <w:rPr>
          <w:color w:val="231F20"/>
          <w:spacing w:val="-18"/>
          <w:w w:val="105"/>
        </w:rPr>
        <w:t> </w:t>
      </w:r>
      <w:r>
        <w:rPr>
          <w:color w:val="231F20"/>
          <w:w w:val="105"/>
        </w:rPr>
        <w:t>International</w:t>
      </w:r>
      <w:r>
        <w:rPr>
          <w:color w:val="231F20"/>
          <w:spacing w:val="-18"/>
          <w:w w:val="105"/>
        </w:rPr>
        <w:t> </w:t>
      </w:r>
      <w:r>
        <w:rPr>
          <w:color w:val="231F20"/>
          <w:w w:val="105"/>
        </w:rPr>
        <w:t>Holdings</w:t>
      </w:r>
      <w:r>
        <w:rPr>
          <w:color w:val="231F20"/>
          <w:spacing w:val="-19"/>
          <w:w w:val="105"/>
        </w:rPr>
        <w:t> </w:t>
      </w:r>
      <w:r>
        <w:rPr>
          <w:color w:val="231F20"/>
          <w:w w:val="105"/>
        </w:rPr>
        <w:t>Ltd.,</w:t>
      </w:r>
      <w:r>
        <w:rPr>
          <w:color w:val="231F20"/>
          <w:spacing w:val="-18"/>
          <w:w w:val="105"/>
        </w:rPr>
        <w:t> </w:t>
      </w:r>
      <w:r>
        <w:rPr>
          <w:color w:val="231F20"/>
          <w:w w:val="105"/>
        </w:rPr>
        <w:t>China.</w:t>
      </w:r>
      <w:r>
        <w:rPr>
          <w:color w:val="231F20"/>
          <w:spacing w:val="-19"/>
          <w:w w:val="105"/>
        </w:rPr>
        <w:t> </w:t>
      </w:r>
      <w:r>
        <w:rPr>
          <w:color w:val="231F20"/>
          <w:w w:val="105"/>
        </w:rPr>
        <w:t>In</w:t>
      </w:r>
      <w:r>
        <w:rPr>
          <w:color w:val="231F20"/>
          <w:spacing w:val="-18"/>
          <w:w w:val="105"/>
        </w:rPr>
        <w:t> </w:t>
      </w:r>
      <w:r>
        <w:rPr>
          <w:color w:val="231F20"/>
          <w:w w:val="105"/>
        </w:rPr>
        <w:t>addition, Nandu Nandkishore is a Board member of Osem Investments Ltd., Israel, and a member of the Supervisory Board of Cereal Partners Worldwide</w:t>
      </w:r>
      <w:r>
        <w:rPr>
          <w:color w:val="231F20"/>
          <w:spacing w:val="-30"/>
          <w:w w:val="105"/>
        </w:rPr>
        <w:t> </w:t>
      </w:r>
      <w:r>
        <w:rPr>
          <w:color w:val="231F20"/>
          <w:w w:val="105"/>
        </w:rPr>
        <w:t>S.A.</w:t>
      </w:r>
    </w:p>
    <w:p>
      <w:pPr>
        <w:pStyle w:val="BodyText"/>
        <w:rPr>
          <w:sz w:val="22"/>
        </w:rPr>
      </w:pPr>
    </w:p>
    <w:p>
      <w:pPr>
        <w:pStyle w:val="BodyText"/>
        <w:spacing w:before="2"/>
        <w:rPr>
          <w:sz w:val="19"/>
        </w:rPr>
      </w:pPr>
    </w:p>
    <w:p>
      <w:pPr>
        <w:pStyle w:val="Heading3"/>
        <w:spacing w:before="1"/>
        <w:ind w:left="186"/>
      </w:pPr>
      <w:r>
        <w:rPr/>
        <w:drawing>
          <wp:anchor distT="0" distB="0" distL="0" distR="0" allowOverlap="1" layoutInCell="1" locked="0" behindDoc="0" simplePos="0" relativeHeight="2200">
            <wp:simplePos x="0" y="0"/>
            <wp:positionH relativeFrom="page">
              <wp:posOffset>6228003</wp:posOffset>
            </wp:positionH>
            <wp:positionV relativeFrom="paragraph">
              <wp:posOffset>107958</wp:posOffset>
            </wp:positionV>
            <wp:extent cx="971994" cy="914400"/>
            <wp:effectExtent l="0" t="0" r="0" b="0"/>
            <wp:wrapNone/>
            <wp:docPr id="43" name="image37.png" descr=""/>
            <wp:cNvGraphicFramePr>
              <a:graphicFrameLocks noChangeAspect="1"/>
            </wp:cNvGraphicFramePr>
            <a:graphic>
              <a:graphicData uri="http://schemas.openxmlformats.org/drawingml/2006/picture">
                <pic:pic>
                  <pic:nvPicPr>
                    <pic:cNvPr id="44" name="image37.png"/>
                    <pic:cNvPicPr/>
                  </pic:nvPicPr>
                  <pic:blipFill>
                    <a:blip r:embed="rId65" cstate="print"/>
                    <a:stretch>
                      <a:fillRect/>
                    </a:stretch>
                  </pic:blipFill>
                  <pic:spPr>
                    <a:xfrm>
                      <a:off x="0" y="0"/>
                      <a:ext cx="971994" cy="914400"/>
                    </a:xfrm>
                    <a:prstGeom prst="rect">
                      <a:avLst/>
                    </a:prstGeom>
                  </pic:spPr>
                </pic:pic>
              </a:graphicData>
            </a:graphic>
          </wp:anchor>
        </w:drawing>
      </w:r>
      <w:r>
        <w:rPr>
          <w:color w:val="231F20"/>
          <w:w w:val="110"/>
        </w:rPr>
        <w:t>Wan Ling Martello</w:t>
      </w:r>
    </w:p>
    <w:p>
      <w:pPr>
        <w:pStyle w:val="BodyText"/>
        <w:spacing w:line="276" w:lineRule="auto" w:before="31"/>
        <w:ind w:left="186" w:right="2047"/>
      </w:pPr>
      <w:r>
        <w:rPr>
          <w:color w:val="231F20"/>
        </w:rPr>
        <w:t>Wan Ling Martello joined Nestlé S.A. as Executive Vice President in November 2011 and is the Chief Financial Officer since 1 April 2012.</w:t>
      </w:r>
    </w:p>
    <w:p>
      <w:pPr>
        <w:pStyle w:val="BodyText"/>
        <w:spacing w:line="208" w:lineRule="exact"/>
        <w:ind w:left="413"/>
      </w:pPr>
      <w:r>
        <w:rPr>
          <w:color w:val="231F20"/>
          <w:w w:val="105"/>
        </w:rPr>
        <w:t>Wan Ling Martello came to</w:t>
      </w:r>
    </w:p>
    <w:p>
      <w:pPr>
        <w:pStyle w:val="BodyText"/>
        <w:spacing w:line="276" w:lineRule="auto" w:before="31"/>
        <w:ind w:left="186" w:right="1792"/>
      </w:pPr>
      <w:r>
        <w:rPr>
          <w:color w:val="231F20"/>
          <w:w w:val="105"/>
        </w:rPr>
        <w:t>Nestlé S.A. from Walmart Stores Inc., where she was EVP, Global eCommerce</w:t>
      </w:r>
    </w:p>
    <w:p>
      <w:pPr>
        <w:pStyle w:val="BodyText"/>
        <w:spacing w:line="276" w:lineRule="auto"/>
        <w:ind w:left="186" w:right="277"/>
      </w:pPr>
      <w:r>
        <w:rPr>
          <w:color w:val="231F20"/>
          <w:w w:val="105"/>
        </w:rPr>
        <w:t>in 2010 and 2011. From 2005 to 2009 she was SVP, CFO &amp; Strategy for Walmart International. Prior to Walmart,</w:t>
      </w:r>
    </w:p>
    <w:p>
      <w:pPr>
        <w:pStyle w:val="BodyText"/>
        <w:spacing w:line="276" w:lineRule="auto"/>
        <w:ind w:left="186" w:right="62"/>
      </w:pPr>
      <w:r>
        <w:rPr>
          <w:color w:val="231F20"/>
          <w:w w:val="105"/>
        </w:rPr>
        <w:t>Wan Ling Martello built her career in the consumer packaged</w:t>
      </w:r>
      <w:r>
        <w:rPr>
          <w:color w:val="231F20"/>
          <w:spacing w:val="-21"/>
          <w:w w:val="105"/>
        </w:rPr>
        <w:t> </w:t>
      </w:r>
      <w:r>
        <w:rPr>
          <w:color w:val="231F20"/>
          <w:w w:val="105"/>
        </w:rPr>
        <w:t>goods</w:t>
      </w:r>
      <w:r>
        <w:rPr>
          <w:color w:val="231F20"/>
          <w:spacing w:val="-20"/>
          <w:w w:val="105"/>
        </w:rPr>
        <w:t> </w:t>
      </w:r>
      <w:r>
        <w:rPr>
          <w:color w:val="231F20"/>
          <w:w w:val="105"/>
        </w:rPr>
        <w:t>industry.</w:t>
      </w:r>
      <w:r>
        <w:rPr>
          <w:color w:val="231F20"/>
          <w:spacing w:val="-21"/>
          <w:w w:val="105"/>
        </w:rPr>
        <w:t> </w:t>
      </w:r>
      <w:r>
        <w:rPr>
          <w:color w:val="231F20"/>
          <w:w w:val="105"/>
        </w:rPr>
        <w:t>She</w:t>
      </w:r>
      <w:r>
        <w:rPr>
          <w:color w:val="231F20"/>
          <w:spacing w:val="-20"/>
          <w:w w:val="105"/>
        </w:rPr>
        <w:t> </w:t>
      </w:r>
      <w:r>
        <w:rPr>
          <w:color w:val="231F20"/>
          <w:w w:val="105"/>
        </w:rPr>
        <w:t>worked</w:t>
      </w:r>
      <w:r>
        <w:rPr>
          <w:color w:val="231F20"/>
          <w:spacing w:val="-20"/>
          <w:w w:val="105"/>
        </w:rPr>
        <w:t> </w:t>
      </w:r>
      <w:r>
        <w:rPr>
          <w:color w:val="231F20"/>
          <w:w w:val="105"/>
        </w:rPr>
        <w:t>at</w:t>
      </w:r>
      <w:r>
        <w:rPr>
          <w:color w:val="231F20"/>
          <w:spacing w:val="-21"/>
          <w:w w:val="105"/>
        </w:rPr>
        <w:t> </w:t>
      </w:r>
      <w:r>
        <w:rPr>
          <w:color w:val="231F20"/>
          <w:w w:val="105"/>
        </w:rPr>
        <w:t>Kraft</w:t>
      </w:r>
      <w:r>
        <w:rPr>
          <w:color w:val="231F20"/>
          <w:spacing w:val="-20"/>
          <w:w w:val="105"/>
        </w:rPr>
        <w:t> </w:t>
      </w:r>
      <w:r>
        <w:rPr>
          <w:color w:val="231F20"/>
          <w:w w:val="105"/>
        </w:rPr>
        <w:t>in</w:t>
      </w:r>
      <w:r>
        <w:rPr>
          <w:color w:val="231F20"/>
          <w:spacing w:val="-20"/>
          <w:w w:val="105"/>
        </w:rPr>
        <w:t> </w:t>
      </w:r>
      <w:r>
        <w:rPr>
          <w:color w:val="231F20"/>
          <w:w w:val="105"/>
        </w:rPr>
        <w:t>increasingly broader finance roles from 1985 to 1995. She was the Corporate</w:t>
      </w:r>
      <w:r>
        <w:rPr>
          <w:color w:val="231F20"/>
          <w:spacing w:val="-14"/>
          <w:w w:val="105"/>
        </w:rPr>
        <w:t> </w:t>
      </w:r>
      <w:r>
        <w:rPr>
          <w:color w:val="231F20"/>
          <w:w w:val="105"/>
        </w:rPr>
        <w:t>Controller</w:t>
      </w:r>
      <w:r>
        <w:rPr>
          <w:color w:val="231F20"/>
          <w:spacing w:val="-14"/>
          <w:w w:val="105"/>
        </w:rPr>
        <w:t> </w:t>
      </w:r>
      <w:r>
        <w:rPr>
          <w:color w:val="231F20"/>
          <w:w w:val="105"/>
        </w:rPr>
        <w:t>at</w:t>
      </w:r>
      <w:r>
        <w:rPr>
          <w:color w:val="231F20"/>
          <w:spacing w:val="-14"/>
          <w:w w:val="105"/>
        </w:rPr>
        <w:t> </w:t>
      </w:r>
      <w:r>
        <w:rPr>
          <w:color w:val="231F20"/>
          <w:w w:val="105"/>
        </w:rPr>
        <w:t>Borden</w:t>
      </w:r>
      <w:r>
        <w:rPr>
          <w:color w:val="231F20"/>
          <w:spacing w:val="-14"/>
          <w:w w:val="105"/>
        </w:rPr>
        <w:t> </w:t>
      </w:r>
      <w:r>
        <w:rPr>
          <w:color w:val="231F20"/>
          <w:w w:val="105"/>
        </w:rPr>
        <w:t>Foods</w:t>
      </w:r>
      <w:r>
        <w:rPr>
          <w:color w:val="231F20"/>
          <w:spacing w:val="-13"/>
          <w:w w:val="105"/>
        </w:rPr>
        <w:t> </w:t>
      </w:r>
      <w:r>
        <w:rPr>
          <w:color w:val="231F20"/>
          <w:w w:val="105"/>
        </w:rPr>
        <w:t>during</w:t>
      </w:r>
      <w:r>
        <w:rPr>
          <w:color w:val="231F20"/>
          <w:spacing w:val="-14"/>
          <w:w w:val="105"/>
        </w:rPr>
        <w:t> </w:t>
      </w:r>
      <w:r>
        <w:rPr>
          <w:color w:val="231F20"/>
          <w:w w:val="105"/>
        </w:rPr>
        <w:t>its</w:t>
      </w:r>
      <w:r>
        <w:rPr>
          <w:color w:val="231F20"/>
          <w:spacing w:val="-14"/>
          <w:w w:val="105"/>
        </w:rPr>
        <w:t> </w:t>
      </w:r>
      <w:r>
        <w:rPr>
          <w:color w:val="231F20"/>
          <w:w w:val="105"/>
        </w:rPr>
        <w:t>turn-around years owned by KKR in 1995 until 1998. Wan Ling Martello was the CFO and then the President of the U.S. business of NCH,</w:t>
      </w:r>
      <w:r>
        <w:rPr>
          <w:color w:val="231F20"/>
          <w:spacing w:val="-6"/>
          <w:w w:val="105"/>
        </w:rPr>
        <w:t> </w:t>
      </w:r>
      <w:r>
        <w:rPr>
          <w:color w:val="231F20"/>
          <w:w w:val="105"/>
        </w:rPr>
        <w:t>a</w:t>
      </w:r>
      <w:r>
        <w:rPr>
          <w:color w:val="231F20"/>
          <w:spacing w:val="-6"/>
          <w:w w:val="105"/>
        </w:rPr>
        <w:t> </w:t>
      </w:r>
      <w:r>
        <w:rPr>
          <w:color w:val="231F20"/>
          <w:w w:val="105"/>
        </w:rPr>
        <w:t>former</w:t>
      </w:r>
      <w:r>
        <w:rPr>
          <w:color w:val="231F20"/>
          <w:spacing w:val="-6"/>
          <w:w w:val="105"/>
        </w:rPr>
        <w:t> </w:t>
      </w:r>
      <w:r>
        <w:rPr>
          <w:color w:val="231F20"/>
          <w:w w:val="105"/>
        </w:rPr>
        <w:t>subsidiary</w:t>
      </w:r>
      <w:r>
        <w:rPr>
          <w:color w:val="231F20"/>
          <w:spacing w:val="-6"/>
          <w:w w:val="105"/>
        </w:rPr>
        <w:t> </w:t>
      </w:r>
      <w:r>
        <w:rPr>
          <w:color w:val="231F20"/>
          <w:w w:val="105"/>
        </w:rPr>
        <w:t>of</w:t>
      </w:r>
      <w:r>
        <w:rPr>
          <w:color w:val="231F20"/>
          <w:spacing w:val="-6"/>
          <w:w w:val="105"/>
        </w:rPr>
        <w:t> </w:t>
      </w:r>
      <w:r>
        <w:rPr>
          <w:color w:val="231F20"/>
          <w:w w:val="105"/>
        </w:rPr>
        <w:t>AC</w:t>
      </w:r>
      <w:r>
        <w:rPr>
          <w:color w:val="231F20"/>
          <w:spacing w:val="-6"/>
          <w:w w:val="105"/>
        </w:rPr>
        <w:t> </w:t>
      </w:r>
      <w:r>
        <w:rPr>
          <w:color w:val="231F20"/>
          <w:w w:val="105"/>
        </w:rPr>
        <w:t>Nielsen,</w:t>
      </w:r>
      <w:r>
        <w:rPr>
          <w:color w:val="231F20"/>
          <w:spacing w:val="-5"/>
          <w:w w:val="105"/>
        </w:rPr>
        <w:t> </w:t>
      </w:r>
      <w:r>
        <w:rPr>
          <w:color w:val="231F20"/>
          <w:w w:val="105"/>
        </w:rPr>
        <w:t>from</w:t>
      </w:r>
      <w:r>
        <w:rPr>
          <w:color w:val="231F20"/>
          <w:spacing w:val="-6"/>
          <w:w w:val="105"/>
        </w:rPr>
        <w:t> </w:t>
      </w:r>
      <w:r>
        <w:rPr>
          <w:color w:val="231F20"/>
          <w:w w:val="105"/>
        </w:rPr>
        <w:t>1998</w:t>
      </w:r>
      <w:r>
        <w:rPr>
          <w:color w:val="231F20"/>
          <w:spacing w:val="-6"/>
          <w:w w:val="105"/>
        </w:rPr>
        <w:t> </w:t>
      </w:r>
      <w:r>
        <w:rPr>
          <w:color w:val="231F20"/>
          <w:w w:val="105"/>
        </w:rPr>
        <w:t>to</w:t>
      </w:r>
      <w:r>
        <w:rPr>
          <w:color w:val="231F20"/>
          <w:spacing w:val="-6"/>
          <w:w w:val="105"/>
        </w:rPr>
        <w:t> </w:t>
      </w:r>
      <w:r>
        <w:rPr>
          <w:color w:val="231F20"/>
          <w:w w:val="105"/>
        </w:rPr>
        <w:t>2005.</w:t>
      </w:r>
    </w:p>
    <w:p>
      <w:pPr>
        <w:pStyle w:val="BodyText"/>
        <w:rPr>
          <w:sz w:val="22"/>
        </w:rPr>
      </w:pPr>
    </w:p>
    <w:p>
      <w:pPr>
        <w:pStyle w:val="BodyText"/>
        <w:rPr>
          <w:sz w:val="19"/>
        </w:rPr>
      </w:pPr>
    </w:p>
    <w:p>
      <w:pPr>
        <w:pStyle w:val="Heading3"/>
        <w:ind w:left="186"/>
      </w:pPr>
      <w:r>
        <w:rPr/>
        <w:drawing>
          <wp:anchor distT="0" distB="0" distL="0" distR="0" allowOverlap="1" layoutInCell="1" locked="0" behindDoc="0" simplePos="0" relativeHeight="2224">
            <wp:simplePos x="0" y="0"/>
            <wp:positionH relativeFrom="page">
              <wp:posOffset>6228003</wp:posOffset>
            </wp:positionH>
            <wp:positionV relativeFrom="paragraph">
              <wp:posOffset>107323</wp:posOffset>
            </wp:positionV>
            <wp:extent cx="971994" cy="914400"/>
            <wp:effectExtent l="0" t="0" r="0" b="0"/>
            <wp:wrapNone/>
            <wp:docPr id="45" name="image38.png" descr=""/>
            <wp:cNvGraphicFramePr>
              <a:graphicFrameLocks noChangeAspect="1"/>
            </wp:cNvGraphicFramePr>
            <a:graphic>
              <a:graphicData uri="http://schemas.openxmlformats.org/drawingml/2006/picture">
                <pic:pic>
                  <pic:nvPicPr>
                    <pic:cNvPr id="46" name="image38.png"/>
                    <pic:cNvPicPr/>
                  </pic:nvPicPr>
                  <pic:blipFill>
                    <a:blip r:embed="rId66" cstate="print"/>
                    <a:stretch>
                      <a:fillRect/>
                    </a:stretch>
                  </pic:blipFill>
                  <pic:spPr>
                    <a:xfrm>
                      <a:off x="0" y="0"/>
                      <a:ext cx="971994" cy="914400"/>
                    </a:xfrm>
                    <a:prstGeom prst="rect">
                      <a:avLst/>
                    </a:prstGeom>
                  </pic:spPr>
                </pic:pic>
              </a:graphicData>
            </a:graphic>
          </wp:anchor>
        </w:drawing>
      </w:r>
      <w:r>
        <w:rPr>
          <w:color w:val="231F20"/>
          <w:w w:val="115"/>
        </w:rPr>
        <w:t>Stefan Catsicas</w:t>
      </w:r>
    </w:p>
    <w:p>
      <w:pPr>
        <w:pStyle w:val="BodyText"/>
        <w:spacing w:line="276" w:lineRule="auto" w:before="31"/>
        <w:ind w:left="186" w:right="2171"/>
      </w:pPr>
      <w:r>
        <w:rPr>
          <w:color w:val="231F20"/>
        </w:rPr>
        <w:t>Stefan Catsicas started his career at the pharmaceutical company Glaxo in Geneva, Switzerland, as Head of Neurobiology at the company’s Institute of Molecular Biology. He</w:t>
      </w:r>
    </w:p>
    <w:p>
      <w:pPr>
        <w:pStyle w:val="BodyText"/>
        <w:spacing w:line="276" w:lineRule="auto"/>
        <w:ind w:left="186" w:right="1865"/>
      </w:pPr>
      <w:r>
        <w:rPr>
          <w:color w:val="231F20"/>
        </w:rPr>
        <w:t>continued his career in academia at the University of Lausanne as Professor</w:t>
      </w:r>
    </w:p>
    <w:p>
      <w:pPr>
        <w:pStyle w:val="BodyText"/>
        <w:spacing w:line="276" w:lineRule="auto"/>
        <w:ind w:left="186" w:right="304"/>
      </w:pPr>
      <w:r>
        <w:rPr>
          <w:color w:val="231F20"/>
        </w:rPr>
        <w:t>and Chairman of the Cell Biology and Morphology Institute, and later as Vice President Research and Professor</w:t>
      </w:r>
    </w:p>
    <w:p>
      <w:pPr>
        <w:pStyle w:val="BodyText"/>
        <w:spacing w:line="276" w:lineRule="auto"/>
        <w:ind w:left="186" w:right="304"/>
      </w:pPr>
      <w:r>
        <w:rPr>
          <w:color w:val="231F20"/>
        </w:rPr>
        <w:t>of Cellular Engineering at the Swiss Federal Institute of Technology (EPFL) in Lausanne, Switzerland.</w:t>
      </w:r>
    </w:p>
    <w:p>
      <w:pPr>
        <w:spacing w:after="0" w:line="276" w:lineRule="auto"/>
        <w:sectPr>
          <w:type w:val="continuous"/>
          <w:pgSz w:w="11910" w:h="14750"/>
          <w:pgMar w:top="540" w:bottom="280" w:left="460" w:right="460"/>
          <w:cols w:num="2" w:equalWidth="0">
            <w:col w:w="5607" w:space="40"/>
            <w:col w:w="5343"/>
          </w:cols>
        </w:sectPr>
      </w:pPr>
    </w:p>
    <w:p>
      <w:pPr>
        <w:pStyle w:val="BodyText"/>
        <w:rPr>
          <w:sz w:val="20"/>
        </w:rPr>
      </w:pPr>
    </w:p>
    <w:p>
      <w:pPr>
        <w:pStyle w:val="BodyText"/>
        <w:rPr>
          <w:sz w:val="20"/>
        </w:rPr>
      </w:pPr>
    </w:p>
    <w:p>
      <w:pPr>
        <w:pStyle w:val="BodyText"/>
        <w:spacing w:before="11"/>
        <w:rPr>
          <w:sz w:val="15"/>
        </w:rPr>
      </w:pPr>
    </w:p>
    <w:p>
      <w:pPr>
        <w:spacing w:after="0"/>
        <w:rPr>
          <w:sz w:val="15"/>
        </w:rPr>
        <w:sectPr>
          <w:headerReference w:type="even" r:id="rId67"/>
          <w:footerReference w:type="even" r:id="rId68"/>
          <w:footerReference w:type="default" r:id="rId69"/>
          <w:pgSz w:w="11910" w:h="14750"/>
          <w:pgMar w:header="642" w:footer="509" w:top="840" w:bottom="700" w:left="460" w:right="460"/>
          <w:pgNumType w:start="28"/>
        </w:sectPr>
      </w:pPr>
    </w:p>
    <w:p>
      <w:pPr>
        <w:pStyle w:val="BodyText"/>
        <w:spacing w:line="276" w:lineRule="auto" w:before="106"/>
        <w:ind w:left="106" w:right="191" w:firstLine="226"/>
      </w:pPr>
      <w:r>
        <w:rPr>
          <w:color w:val="231F20"/>
          <w:w w:val="105"/>
        </w:rPr>
        <w:t>In 2005 Stefan Catsicas co-founded a private group of biotechnology companies and he returned to academia in 2011 as Provost and Executive Vice President of the King Abdullah University of Science and Technology in Saudi Arabia.</w:t>
      </w:r>
    </w:p>
    <w:p>
      <w:pPr>
        <w:pStyle w:val="BodyText"/>
        <w:spacing w:line="276" w:lineRule="auto"/>
        <w:ind w:left="106" w:right="91" w:firstLine="276"/>
      </w:pPr>
      <w:r>
        <w:rPr>
          <w:color w:val="231F20"/>
        </w:rPr>
        <w:t>Effective September 2013, Stefan Catsicas was appointed to the Executive Board of Nestlé S.A. as Executive Vice President, Chief Technology Officer, Head of Innovation, Technology, Research and Development.</w:t>
      </w:r>
    </w:p>
    <w:p>
      <w:pPr>
        <w:pStyle w:val="BodyText"/>
        <w:spacing w:line="208" w:lineRule="exact"/>
        <w:ind w:left="333"/>
      </w:pPr>
      <w:r>
        <w:rPr>
          <w:color w:val="231F20"/>
          <w:w w:val="105"/>
        </w:rPr>
        <w:t>Furthermore, Stefan Catsicas serves on the Board</w:t>
      </w:r>
    </w:p>
    <w:p>
      <w:pPr>
        <w:pStyle w:val="BodyText"/>
        <w:spacing w:line="276" w:lineRule="auto" w:before="29"/>
        <w:ind w:left="106" w:right="129"/>
      </w:pPr>
      <w:r>
        <w:rPr>
          <w:color w:val="231F20"/>
        </w:rPr>
        <w:t>of Directors of “Fondation Latsis International”, Geneva, Switzerland, as well as on the Board of Directors of “Fondation Solar Impulse”, Lausanne, Switzerland.</w:t>
      </w:r>
    </w:p>
    <w:p>
      <w:pPr>
        <w:pStyle w:val="BodyText"/>
        <w:rPr>
          <w:sz w:val="22"/>
        </w:rPr>
      </w:pPr>
    </w:p>
    <w:p>
      <w:pPr>
        <w:pStyle w:val="BodyText"/>
        <w:spacing w:before="3"/>
        <w:rPr>
          <w:sz w:val="19"/>
        </w:rPr>
      </w:pPr>
    </w:p>
    <w:p>
      <w:pPr>
        <w:pStyle w:val="Heading3"/>
        <w:ind w:left="106"/>
      </w:pPr>
      <w:r>
        <w:rPr/>
        <w:drawing>
          <wp:anchor distT="0" distB="0" distL="0" distR="0" allowOverlap="1" layoutInCell="1" locked="0" behindDoc="0" simplePos="0" relativeHeight="2248">
            <wp:simplePos x="0" y="0"/>
            <wp:positionH relativeFrom="page">
              <wp:posOffset>2591993</wp:posOffset>
            </wp:positionH>
            <wp:positionV relativeFrom="paragraph">
              <wp:posOffset>107323</wp:posOffset>
            </wp:positionV>
            <wp:extent cx="972007" cy="914400"/>
            <wp:effectExtent l="0" t="0" r="0" b="0"/>
            <wp:wrapNone/>
            <wp:docPr id="47" name="image39.png" descr=""/>
            <wp:cNvGraphicFramePr>
              <a:graphicFrameLocks noChangeAspect="1"/>
            </wp:cNvGraphicFramePr>
            <a:graphic>
              <a:graphicData uri="http://schemas.openxmlformats.org/drawingml/2006/picture">
                <pic:pic>
                  <pic:nvPicPr>
                    <pic:cNvPr id="48" name="image39.png"/>
                    <pic:cNvPicPr/>
                  </pic:nvPicPr>
                  <pic:blipFill>
                    <a:blip r:embed="rId70" cstate="print"/>
                    <a:stretch>
                      <a:fillRect/>
                    </a:stretch>
                  </pic:blipFill>
                  <pic:spPr>
                    <a:xfrm>
                      <a:off x="0" y="0"/>
                      <a:ext cx="972007" cy="914400"/>
                    </a:xfrm>
                    <a:prstGeom prst="rect">
                      <a:avLst/>
                    </a:prstGeom>
                  </pic:spPr>
                </pic:pic>
              </a:graphicData>
            </a:graphic>
          </wp:anchor>
        </w:drawing>
      </w:r>
      <w:r>
        <w:rPr>
          <w:color w:val="231F20"/>
          <w:w w:val="110"/>
        </w:rPr>
        <w:t>Marco Settembri</w:t>
      </w:r>
    </w:p>
    <w:p>
      <w:pPr>
        <w:pStyle w:val="BodyText"/>
        <w:spacing w:line="276" w:lineRule="auto" w:before="31"/>
        <w:ind w:left="106" w:right="1799"/>
      </w:pPr>
      <w:r>
        <w:rPr>
          <w:color w:val="231F20"/>
        </w:rPr>
        <w:t>Marco Settembri joined Nestlé  S.A. with Nestlé Italiana in 1987 and was entrusted with various responsibilities, mainly in the PetCare area. He was appointed Managing Director of the Sanpellegrino water business in 2004 </w:t>
      </w:r>
      <w:r>
        <w:rPr>
          <w:color w:val="231F20"/>
          <w:spacing w:val="-2"/>
        </w:rPr>
        <w:t>and </w:t>
      </w:r>
      <w:r>
        <w:rPr>
          <w:color w:val="231F20"/>
        </w:rPr>
        <w:t>largely </w:t>
      </w:r>
      <w:r>
        <w:rPr>
          <w:color w:val="231F20"/>
          <w:spacing w:val="-3"/>
        </w:rPr>
        <w:t>contributed to </w:t>
      </w:r>
      <w:r>
        <w:rPr>
          <w:color w:val="231F20"/>
        </w:rPr>
        <w:t>the</w:t>
      </w:r>
      <w:r>
        <w:rPr>
          <w:color w:val="231F20"/>
          <w:spacing w:val="10"/>
        </w:rPr>
        <w:t> </w:t>
      </w:r>
      <w:r>
        <w:rPr>
          <w:color w:val="231F20"/>
        </w:rPr>
        <w:t>successful</w:t>
      </w:r>
    </w:p>
    <w:p>
      <w:pPr>
        <w:pStyle w:val="BodyText"/>
        <w:spacing w:line="276" w:lineRule="auto"/>
        <w:ind w:left="106" w:right="255"/>
      </w:pPr>
      <w:r>
        <w:rPr>
          <w:color w:val="231F20"/>
        </w:rPr>
        <w:t>consolidation of the water activities in Italy and to the development of a strong export stream of the emblematic Italian brands. In 2006, he took over the position of Market Head in Italy in addition to his responsibility as Head of Nestlé Waters Italy. In 2007, Marco Settembri was appointed CEO of Nestlé Purina PetCare Europe.</w:t>
      </w:r>
    </w:p>
    <w:p>
      <w:pPr>
        <w:pStyle w:val="BodyText"/>
        <w:spacing w:line="276" w:lineRule="auto"/>
        <w:ind w:left="106" w:right="91" w:firstLine="226"/>
      </w:pPr>
      <w:r>
        <w:rPr>
          <w:color w:val="231F20"/>
        </w:rPr>
        <w:t>Effective December 2013, Marco Settembri was appointed to the Executive Board of Nestlé S.A. as Executive Vice President, Head of Nestlé Waters of the Nestlé Group.</w:t>
      </w:r>
    </w:p>
    <w:p>
      <w:pPr>
        <w:pStyle w:val="BodyText"/>
        <w:rPr>
          <w:sz w:val="22"/>
        </w:rPr>
      </w:pPr>
    </w:p>
    <w:p>
      <w:pPr>
        <w:pStyle w:val="BodyText"/>
        <w:spacing w:before="10"/>
      </w:pPr>
    </w:p>
    <w:p>
      <w:pPr>
        <w:pStyle w:val="Heading3"/>
        <w:ind w:left="106"/>
      </w:pPr>
      <w:r>
        <w:rPr/>
        <w:drawing>
          <wp:anchor distT="0" distB="0" distL="0" distR="0" allowOverlap="1" layoutInCell="1" locked="0" behindDoc="0" simplePos="0" relativeHeight="2272">
            <wp:simplePos x="0" y="0"/>
            <wp:positionH relativeFrom="page">
              <wp:posOffset>2591993</wp:posOffset>
            </wp:positionH>
            <wp:positionV relativeFrom="paragraph">
              <wp:posOffset>107310</wp:posOffset>
            </wp:positionV>
            <wp:extent cx="972007" cy="914412"/>
            <wp:effectExtent l="0" t="0" r="0" b="0"/>
            <wp:wrapNone/>
            <wp:docPr id="49" name="image40.png" descr=""/>
            <wp:cNvGraphicFramePr>
              <a:graphicFrameLocks noChangeAspect="1"/>
            </wp:cNvGraphicFramePr>
            <a:graphic>
              <a:graphicData uri="http://schemas.openxmlformats.org/drawingml/2006/picture">
                <pic:pic>
                  <pic:nvPicPr>
                    <pic:cNvPr id="50" name="image40.png"/>
                    <pic:cNvPicPr/>
                  </pic:nvPicPr>
                  <pic:blipFill>
                    <a:blip r:embed="rId71" cstate="print"/>
                    <a:stretch>
                      <a:fillRect/>
                    </a:stretch>
                  </pic:blipFill>
                  <pic:spPr>
                    <a:xfrm>
                      <a:off x="0" y="0"/>
                      <a:ext cx="972007" cy="914412"/>
                    </a:xfrm>
                    <a:prstGeom prst="rect">
                      <a:avLst/>
                    </a:prstGeom>
                  </pic:spPr>
                </pic:pic>
              </a:graphicData>
            </a:graphic>
          </wp:anchor>
        </w:drawing>
      </w:r>
      <w:r>
        <w:rPr>
          <w:color w:val="231F20"/>
          <w:w w:val="110"/>
        </w:rPr>
        <w:t>Peter Vogt</w:t>
      </w:r>
    </w:p>
    <w:p>
      <w:pPr>
        <w:pStyle w:val="BodyText"/>
        <w:spacing w:line="276" w:lineRule="auto" w:before="31"/>
        <w:ind w:left="106" w:right="2131"/>
      </w:pPr>
      <w:r>
        <w:rPr>
          <w:color w:val="231F20"/>
        </w:rPr>
        <w:t>Peter Vogt joined Nestlé in 1980 as  a trainee in marketing before being appointed in Japan as Product Specialist. He returned to the Swiss market in 1985. Starting </w:t>
      </w:r>
      <w:r>
        <w:rPr>
          <w:color w:val="231F20"/>
          <w:spacing w:val="-6"/>
        </w:rPr>
        <w:t>1987,</w:t>
      </w:r>
      <w:r>
        <w:rPr>
          <w:color w:val="231F20"/>
          <w:spacing w:val="-3"/>
        </w:rPr>
        <w:t> </w:t>
      </w:r>
      <w:r>
        <w:rPr>
          <w:color w:val="231F20"/>
        </w:rPr>
        <w:t>Peter</w:t>
      </w:r>
    </w:p>
    <w:p>
      <w:pPr>
        <w:pStyle w:val="BodyText"/>
        <w:spacing w:line="276" w:lineRule="auto"/>
        <w:ind w:left="106" w:right="1886"/>
      </w:pPr>
      <w:r>
        <w:rPr>
          <w:color w:val="231F20"/>
        </w:rPr>
        <w:t>Vogt resumed his international career with a series of assignments in Asia,</w:t>
      </w:r>
    </w:p>
    <w:p>
      <w:pPr>
        <w:pStyle w:val="BodyText"/>
        <w:spacing w:line="276" w:lineRule="auto"/>
        <w:ind w:left="106" w:right="91"/>
      </w:pPr>
      <w:r>
        <w:rPr>
          <w:color w:val="231F20"/>
          <w:w w:val="105"/>
        </w:rPr>
        <w:t>first as Manager Hong Kong, then as Marketing Division Manager in Malaysia in April 1990 and finally as Market Head Sri Lanka until the end of 1995. In 1996, he returned to Europe to take over the Swiss Frozen Food &amp; Ice Cream business and became Market Head Nordic Region in 2000.</w:t>
      </w:r>
    </w:p>
    <w:p>
      <w:pPr>
        <w:pStyle w:val="BodyText"/>
        <w:spacing w:line="276" w:lineRule="auto"/>
        <w:ind w:left="106" w:right="408"/>
      </w:pPr>
      <w:r>
        <w:rPr>
          <w:color w:val="231F20"/>
          <w:w w:val="105"/>
        </w:rPr>
        <w:t>Peter Vogt returned to Asia as Market Head Indonesia in 2005 and was nominated Market Head Malaysia and Singapore in 2009.</w:t>
      </w:r>
    </w:p>
    <w:p>
      <w:pPr>
        <w:pStyle w:val="BodyText"/>
        <w:spacing w:line="276" w:lineRule="auto" w:before="106"/>
        <w:ind w:left="106" w:right="590" w:firstLine="226"/>
      </w:pPr>
      <w:r>
        <w:rPr/>
        <w:br w:type="column"/>
      </w:r>
      <w:r>
        <w:rPr>
          <w:color w:val="231F20"/>
        </w:rPr>
        <w:t>As of March 2013, Peter Vogt was appointed to the Executive Board of Nestlé S.A. as Deputy Executive Vice President, Human Resources and Centre Administration.</w:t>
      </w:r>
    </w:p>
    <w:p>
      <w:pPr>
        <w:pStyle w:val="BodyText"/>
        <w:rPr>
          <w:sz w:val="22"/>
        </w:rPr>
      </w:pPr>
    </w:p>
    <w:p>
      <w:pPr>
        <w:pStyle w:val="BodyText"/>
        <w:spacing w:before="3"/>
        <w:rPr>
          <w:sz w:val="19"/>
        </w:rPr>
      </w:pPr>
    </w:p>
    <w:p>
      <w:pPr>
        <w:pStyle w:val="Heading3"/>
        <w:ind w:left="106"/>
      </w:pPr>
      <w:r>
        <w:rPr/>
        <w:drawing>
          <wp:anchor distT="0" distB="0" distL="0" distR="0" allowOverlap="1" layoutInCell="1" locked="0" behindDoc="0" simplePos="0" relativeHeight="2296">
            <wp:simplePos x="0" y="0"/>
            <wp:positionH relativeFrom="page">
              <wp:posOffset>5939993</wp:posOffset>
            </wp:positionH>
            <wp:positionV relativeFrom="paragraph">
              <wp:posOffset>107323</wp:posOffset>
            </wp:positionV>
            <wp:extent cx="971994" cy="914400"/>
            <wp:effectExtent l="0" t="0" r="0" b="0"/>
            <wp:wrapNone/>
            <wp:docPr id="51" name="image41.png" descr=""/>
            <wp:cNvGraphicFramePr>
              <a:graphicFrameLocks noChangeAspect="1"/>
            </wp:cNvGraphicFramePr>
            <a:graphic>
              <a:graphicData uri="http://schemas.openxmlformats.org/drawingml/2006/picture">
                <pic:pic>
                  <pic:nvPicPr>
                    <pic:cNvPr id="52" name="image41.png"/>
                    <pic:cNvPicPr/>
                  </pic:nvPicPr>
                  <pic:blipFill>
                    <a:blip r:embed="rId72" cstate="print"/>
                    <a:stretch>
                      <a:fillRect/>
                    </a:stretch>
                  </pic:blipFill>
                  <pic:spPr>
                    <a:xfrm>
                      <a:off x="0" y="0"/>
                      <a:ext cx="971994" cy="914400"/>
                    </a:xfrm>
                    <a:prstGeom prst="rect">
                      <a:avLst/>
                    </a:prstGeom>
                  </pic:spPr>
                </pic:pic>
              </a:graphicData>
            </a:graphic>
          </wp:anchor>
        </w:drawing>
      </w:r>
      <w:r>
        <w:rPr>
          <w:color w:val="231F20"/>
          <w:w w:val="110"/>
        </w:rPr>
        <w:t>Martial Rolland</w:t>
      </w:r>
    </w:p>
    <w:p>
      <w:pPr>
        <w:pStyle w:val="BodyText"/>
        <w:spacing w:before="31"/>
        <w:ind w:left="106"/>
      </w:pPr>
      <w:r>
        <w:rPr>
          <w:color w:val="231F20"/>
        </w:rPr>
        <w:t>Martial Rolland joined Nestlé in 1988.</w:t>
      </w:r>
    </w:p>
    <w:p>
      <w:pPr>
        <w:pStyle w:val="BodyText"/>
        <w:spacing w:line="276" w:lineRule="auto" w:before="31"/>
        <w:ind w:left="106" w:right="2607"/>
      </w:pPr>
      <w:r>
        <w:rPr>
          <w:color w:val="231F20"/>
        </w:rPr>
        <w:t>He started his international career in 1989 in India, first in sales then in marketing.</w:t>
      </w:r>
    </w:p>
    <w:p>
      <w:pPr>
        <w:pStyle w:val="BodyText"/>
        <w:spacing w:line="276" w:lineRule="auto"/>
        <w:ind w:left="106" w:right="2384" w:firstLine="226"/>
      </w:pPr>
      <w:r>
        <w:rPr>
          <w:color w:val="231F20"/>
          <w:w w:val="105"/>
        </w:rPr>
        <w:t>He</w:t>
      </w:r>
      <w:r>
        <w:rPr>
          <w:color w:val="231F20"/>
          <w:spacing w:val="-19"/>
          <w:w w:val="105"/>
        </w:rPr>
        <w:t> </w:t>
      </w:r>
      <w:r>
        <w:rPr>
          <w:color w:val="231F20"/>
          <w:w w:val="105"/>
        </w:rPr>
        <w:t>was</w:t>
      </w:r>
      <w:r>
        <w:rPr>
          <w:color w:val="231F20"/>
          <w:spacing w:val="-19"/>
          <w:w w:val="105"/>
        </w:rPr>
        <w:t> </w:t>
      </w:r>
      <w:r>
        <w:rPr>
          <w:color w:val="231F20"/>
          <w:w w:val="105"/>
        </w:rPr>
        <w:t>then</w:t>
      </w:r>
      <w:r>
        <w:rPr>
          <w:color w:val="231F20"/>
          <w:spacing w:val="-18"/>
          <w:w w:val="105"/>
        </w:rPr>
        <w:t> </w:t>
      </w:r>
      <w:r>
        <w:rPr>
          <w:color w:val="231F20"/>
          <w:w w:val="105"/>
        </w:rPr>
        <w:t>transferred</w:t>
      </w:r>
      <w:r>
        <w:rPr>
          <w:color w:val="231F20"/>
          <w:spacing w:val="-19"/>
          <w:w w:val="105"/>
        </w:rPr>
        <w:t> </w:t>
      </w:r>
      <w:r>
        <w:rPr>
          <w:color w:val="231F20"/>
          <w:w w:val="105"/>
        </w:rPr>
        <w:t>to</w:t>
      </w:r>
      <w:r>
        <w:rPr>
          <w:color w:val="231F20"/>
          <w:spacing w:val="-18"/>
          <w:w w:val="105"/>
        </w:rPr>
        <w:t> </w:t>
      </w:r>
      <w:r>
        <w:rPr>
          <w:color w:val="231F20"/>
          <w:w w:val="105"/>
        </w:rPr>
        <w:t>Thailand as Group Brand Manager and, in September 1995, to Pakistan</w:t>
      </w:r>
      <w:r>
        <w:rPr>
          <w:color w:val="231F20"/>
          <w:spacing w:val="-28"/>
          <w:w w:val="105"/>
        </w:rPr>
        <w:t> </w:t>
      </w:r>
      <w:r>
        <w:rPr>
          <w:color w:val="231F20"/>
          <w:w w:val="105"/>
        </w:rPr>
        <w:t>as</w:t>
      </w:r>
    </w:p>
    <w:p>
      <w:pPr>
        <w:pStyle w:val="BodyText"/>
        <w:spacing w:line="276" w:lineRule="auto"/>
        <w:ind w:left="106" w:right="727"/>
      </w:pPr>
      <w:r>
        <w:rPr>
          <w:color w:val="231F20"/>
        </w:rPr>
        <w:t>Commercial Manager, heading both marketing and sales functions. In 2000, he moved to </w:t>
      </w:r>
      <w:r>
        <w:rPr>
          <w:color w:val="231F20"/>
          <w:spacing w:val="-3"/>
        </w:rPr>
        <w:t>Turkey </w:t>
      </w:r>
      <w:r>
        <w:rPr>
          <w:color w:val="231F20"/>
        </w:rPr>
        <w:t>to run Nestlé’s dairy company, before taking over as Market Head. In 2004,  Martial Rolland returned to India to take over the position   of Market Head for South Asia Region (SAR). He became Market Head of France in</w:t>
      </w:r>
      <w:r>
        <w:rPr>
          <w:color w:val="231F20"/>
          <w:spacing w:val="-5"/>
        </w:rPr>
        <w:t> </w:t>
      </w:r>
      <w:r>
        <w:rPr>
          <w:color w:val="231F20"/>
          <w:spacing w:val="-4"/>
        </w:rPr>
        <w:t>2010.</w:t>
      </w:r>
    </w:p>
    <w:p>
      <w:pPr>
        <w:pStyle w:val="BodyText"/>
        <w:spacing w:line="276" w:lineRule="auto"/>
        <w:ind w:left="106" w:right="917" w:firstLine="226"/>
        <w:jc w:val="both"/>
      </w:pPr>
      <w:r>
        <w:rPr>
          <w:color w:val="231F20"/>
        </w:rPr>
        <w:t>Effective May 2013, Martial Rolland was appointed to the Executive Board of Nestlé S.A. as Deputy Executive Vice President in charge of Nestlé Professional.</w:t>
      </w:r>
    </w:p>
    <w:p>
      <w:pPr>
        <w:pStyle w:val="BodyText"/>
        <w:rPr>
          <w:sz w:val="22"/>
        </w:rPr>
      </w:pPr>
    </w:p>
    <w:p>
      <w:pPr>
        <w:pStyle w:val="BodyText"/>
        <w:spacing w:before="10"/>
      </w:pPr>
    </w:p>
    <w:p>
      <w:pPr>
        <w:pStyle w:val="Heading3"/>
        <w:ind w:left="106"/>
      </w:pPr>
      <w:r>
        <w:rPr/>
        <w:drawing>
          <wp:anchor distT="0" distB="0" distL="0" distR="0" allowOverlap="1" layoutInCell="1" locked="0" behindDoc="0" simplePos="0" relativeHeight="2320">
            <wp:simplePos x="0" y="0"/>
            <wp:positionH relativeFrom="page">
              <wp:posOffset>5939993</wp:posOffset>
            </wp:positionH>
            <wp:positionV relativeFrom="paragraph">
              <wp:posOffset>107323</wp:posOffset>
            </wp:positionV>
            <wp:extent cx="971994" cy="914400"/>
            <wp:effectExtent l="0" t="0" r="0" b="0"/>
            <wp:wrapNone/>
            <wp:docPr id="53" name="image42.png" descr=""/>
            <wp:cNvGraphicFramePr>
              <a:graphicFrameLocks noChangeAspect="1"/>
            </wp:cNvGraphicFramePr>
            <a:graphic>
              <a:graphicData uri="http://schemas.openxmlformats.org/drawingml/2006/picture">
                <pic:pic>
                  <pic:nvPicPr>
                    <pic:cNvPr id="54" name="image42.png"/>
                    <pic:cNvPicPr/>
                  </pic:nvPicPr>
                  <pic:blipFill>
                    <a:blip r:embed="rId73" cstate="print"/>
                    <a:stretch>
                      <a:fillRect/>
                    </a:stretch>
                  </pic:blipFill>
                  <pic:spPr>
                    <a:xfrm>
                      <a:off x="0" y="0"/>
                      <a:ext cx="971994" cy="914400"/>
                    </a:xfrm>
                    <a:prstGeom prst="rect">
                      <a:avLst/>
                    </a:prstGeom>
                  </pic:spPr>
                </pic:pic>
              </a:graphicData>
            </a:graphic>
          </wp:anchor>
        </w:drawing>
      </w:r>
      <w:r>
        <w:rPr>
          <w:color w:val="231F20"/>
          <w:w w:val="105"/>
        </w:rPr>
        <w:t>David P. Frick</w:t>
      </w:r>
    </w:p>
    <w:p>
      <w:pPr>
        <w:pStyle w:val="BodyText"/>
        <w:spacing w:line="276" w:lineRule="auto" w:before="31"/>
        <w:ind w:left="106" w:right="2459"/>
        <w:jc w:val="both"/>
      </w:pPr>
      <w:r>
        <w:rPr>
          <w:color w:val="231F20"/>
        </w:rPr>
        <w:t>David P. Frick began his career at the Meilen District Court in Zurich and as an assistant to the Banking Law Chair at Zurich University Law School.</w:t>
      </w:r>
    </w:p>
    <w:p>
      <w:pPr>
        <w:pStyle w:val="BodyText"/>
        <w:spacing w:line="276" w:lineRule="auto"/>
        <w:ind w:left="106" w:right="2428" w:firstLine="226"/>
      </w:pPr>
      <w:r>
        <w:rPr>
          <w:color w:val="231F20"/>
        </w:rPr>
        <w:t>From 1994, he was an attorney in the International Corporate and Litigation practice groups of Cravath,</w:t>
      </w:r>
    </w:p>
    <w:p>
      <w:pPr>
        <w:pStyle w:val="BodyText"/>
        <w:spacing w:line="208" w:lineRule="exact"/>
        <w:ind w:left="106"/>
      </w:pPr>
      <w:r>
        <w:rPr>
          <w:color w:val="231F20"/>
        </w:rPr>
        <w:t>Swaine &amp; Moore, the New York law firm.</w:t>
      </w:r>
    </w:p>
    <w:p>
      <w:pPr>
        <w:pStyle w:val="BodyText"/>
        <w:spacing w:line="276" w:lineRule="auto" w:before="30"/>
        <w:ind w:left="106" w:right="857" w:firstLine="226"/>
      </w:pPr>
      <w:r>
        <w:rPr>
          <w:color w:val="231F20"/>
        </w:rPr>
        <w:t>In 1999, he became Group General Counsel and Managing Director of Credit Suisse Group, Zurich, where he was appointed a Member of the Executive Board and served</w:t>
      </w:r>
      <w:r>
        <w:rPr>
          <w:color w:val="231F20"/>
          <w:spacing w:val="20"/>
        </w:rPr>
        <w:t> </w:t>
      </w:r>
      <w:r>
        <w:rPr>
          <w:color w:val="231F20"/>
        </w:rPr>
        <w:t>as</w:t>
      </w:r>
      <w:r>
        <w:rPr>
          <w:color w:val="231F20"/>
          <w:spacing w:val="20"/>
        </w:rPr>
        <w:t> </w:t>
      </w:r>
      <w:r>
        <w:rPr>
          <w:color w:val="231F20"/>
        </w:rPr>
        <w:t>the</w:t>
      </w:r>
      <w:r>
        <w:rPr>
          <w:color w:val="231F20"/>
          <w:spacing w:val="21"/>
        </w:rPr>
        <w:t> </w:t>
      </w:r>
      <w:r>
        <w:rPr>
          <w:color w:val="231F20"/>
        </w:rPr>
        <w:t>company’s</w:t>
      </w:r>
      <w:r>
        <w:rPr>
          <w:color w:val="231F20"/>
          <w:spacing w:val="20"/>
        </w:rPr>
        <w:t> </w:t>
      </w:r>
      <w:r>
        <w:rPr>
          <w:color w:val="231F20"/>
        </w:rPr>
        <w:t>Head</w:t>
      </w:r>
      <w:r>
        <w:rPr>
          <w:color w:val="231F20"/>
          <w:spacing w:val="21"/>
        </w:rPr>
        <w:t> </w:t>
      </w:r>
      <w:r>
        <w:rPr>
          <w:color w:val="231F20"/>
        </w:rPr>
        <w:t>of</w:t>
      </w:r>
      <w:r>
        <w:rPr>
          <w:color w:val="231F20"/>
          <w:spacing w:val="20"/>
        </w:rPr>
        <w:t> </w:t>
      </w:r>
      <w:r>
        <w:rPr>
          <w:color w:val="231F20"/>
        </w:rPr>
        <w:t>Legal</w:t>
      </w:r>
      <w:r>
        <w:rPr>
          <w:color w:val="231F20"/>
          <w:spacing w:val="20"/>
        </w:rPr>
        <w:t> </w:t>
      </w:r>
      <w:r>
        <w:rPr>
          <w:color w:val="231F20"/>
        </w:rPr>
        <w:t>and</w:t>
      </w:r>
      <w:r>
        <w:rPr>
          <w:color w:val="231F20"/>
          <w:spacing w:val="21"/>
        </w:rPr>
        <w:t> </w:t>
      </w:r>
      <w:r>
        <w:rPr>
          <w:color w:val="231F20"/>
        </w:rPr>
        <w:t>Compliance.</w:t>
      </w:r>
    </w:p>
    <w:p>
      <w:pPr>
        <w:pStyle w:val="BodyText"/>
        <w:spacing w:line="276" w:lineRule="auto"/>
        <w:ind w:left="106" w:right="785" w:firstLine="226"/>
      </w:pPr>
      <w:r>
        <w:rPr>
          <w:color w:val="231F20"/>
        </w:rPr>
        <w:t>David P. Frick joined Nestlé S.A. in 2006 and serves as Senior Vice President, Corporate Governance, Compliance and Corporate Services.</w:t>
      </w:r>
    </w:p>
    <w:p>
      <w:pPr>
        <w:pStyle w:val="BodyText"/>
        <w:spacing w:line="276" w:lineRule="auto"/>
        <w:ind w:left="106" w:right="743" w:firstLine="226"/>
      </w:pPr>
      <w:r>
        <w:rPr>
          <w:color w:val="231F20"/>
          <w:w w:val="105"/>
        </w:rPr>
        <w:t>He is a member of the Board of economiesuisse and chairs its Legal Commission. David P. Frick represents Nestlé at SwissHoldings and serves on the SIX Regulatory Board, ICC Switzerland and the Legal Committee for the Swiss-American Chamber of Commerce. He is a member of the Board of Allianz Suisse, Switzerland.</w:t>
      </w:r>
    </w:p>
    <w:p>
      <w:pPr>
        <w:spacing w:after="0" w:line="276" w:lineRule="auto"/>
        <w:sectPr>
          <w:type w:val="continuous"/>
          <w:pgSz w:w="11910" w:h="14750"/>
          <w:pgMar w:top="540" w:bottom="280" w:left="460" w:right="460"/>
          <w:cols w:num="2" w:equalWidth="0">
            <w:col w:w="5193" w:space="79"/>
            <w:col w:w="5718"/>
          </w:cols>
        </w:sectPr>
      </w:pPr>
    </w:p>
    <w:p>
      <w:pPr>
        <w:pStyle w:val="Heading2"/>
        <w:ind w:left="5832"/>
      </w:pPr>
      <w:bookmarkStart w:name="Compensation, shareholdings and loans" w:id="7"/>
      <w:bookmarkEnd w:id="7"/>
      <w:r>
        <w:rPr/>
      </w:r>
      <w:r>
        <w:rPr>
          <w:color w:val="0083CA"/>
        </w:rPr>
        <w:t>Compensation, shareholdings and loans</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6"/>
        </w:rPr>
      </w:pPr>
      <w:r>
        <w:rPr/>
        <w:pict>
          <v:line style="position:absolute;mso-position-horizontal-relative:page;mso-position-vertical-relative:paragraph;z-index:296;mso-wrap-distance-left:0;mso-wrap-distance-right:0" from="51.023602pt,11.681871pt" to="171.495602pt,11.681871pt" stroked="true" strokeweight=".25pt" strokecolor="#231f20">
            <v:stroke dashstyle="solid"/>
            <w10:wrap type="topAndBottom"/>
          </v:line>
        </w:pict>
      </w:r>
      <w:r>
        <w:rPr/>
        <w:pict>
          <v:line style="position:absolute;mso-position-horizontal-relative:page;mso-position-vertical-relative:paragraph;z-index:320;mso-wrap-distance-left:0;mso-wrap-distance-right:0" from="182.835007pt,11.681871pt" to="303.307007pt,11.681871pt" stroked="true" strokeweight=".25pt" strokecolor="#231f20">
            <v:stroke dashstyle="solid"/>
            <w10:wrap type="topAndBottom"/>
          </v:line>
        </w:pict>
      </w:r>
      <w:r>
        <w:rPr/>
        <w:pict>
          <v:line style="position:absolute;mso-position-horizontal-relative:page;mso-position-vertical-relative:paragraph;z-index:344;mso-wrap-distance-left:0;mso-wrap-distance-right:0" from="314.645996pt,11.681871pt" to="435.117996pt,11.681871pt" stroked="true" strokeweight=".25pt" strokecolor="#231f20">
            <v:stroke dashstyle="solid"/>
            <w10:wrap type="topAndBottom"/>
          </v:line>
        </w:pict>
      </w:r>
      <w:r>
        <w:rPr/>
        <w:pict>
          <v:line style="position:absolute;mso-position-horizontal-relative:page;mso-position-vertical-relative:paragraph;z-index:368;mso-wrap-distance-left:0;mso-wrap-distance-right:0" from="446.457001pt,11.681871pt" to="566.929001pt,11.681871pt" stroked="true" strokeweight=".25pt" strokecolor="#231f20">
            <v:stroke dashstyle="solid"/>
            <w10:wrap type="topAndBottom"/>
          </v:line>
        </w:pict>
      </w:r>
    </w:p>
    <w:p>
      <w:pPr>
        <w:pStyle w:val="BodyText"/>
        <w:spacing w:before="5"/>
        <w:rPr>
          <w:sz w:val="14"/>
        </w:rPr>
      </w:pPr>
    </w:p>
    <w:p>
      <w:pPr>
        <w:spacing w:after="0"/>
        <w:rPr>
          <w:sz w:val="14"/>
        </w:rPr>
        <w:sectPr>
          <w:headerReference w:type="default" r:id="rId74"/>
          <w:pgSz w:w="11910" w:h="14750"/>
          <w:pgMar w:header="0" w:footer="509" w:top="980" w:bottom="700" w:left="460" w:right="460"/>
        </w:sectPr>
      </w:pPr>
    </w:p>
    <w:p>
      <w:pPr>
        <w:pStyle w:val="Heading3"/>
        <w:numPr>
          <w:ilvl w:val="1"/>
          <w:numId w:val="2"/>
        </w:numPr>
        <w:tabs>
          <w:tab w:pos="1014" w:val="left" w:leader="none"/>
        </w:tabs>
        <w:spacing w:line="240" w:lineRule="auto" w:before="109" w:after="0"/>
        <w:ind w:left="1013" w:right="0" w:hanging="453"/>
        <w:jc w:val="left"/>
      </w:pPr>
      <w:r>
        <w:rPr>
          <w:color w:val="586670"/>
          <w:w w:val="110"/>
        </w:rPr>
        <w:t>Management</w:t>
      </w:r>
      <w:r>
        <w:rPr>
          <w:color w:val="586670"/>
          <w:spacing w:val="-6"/>
          <w:w w:val="110"/>
        </w:rPr>
        <w:t> </w:t>
      </w:r>
      <w:r>
        <w:rPr>
          <w:color w:val="586670"/>
          <w:w w:val="110"/>
        </w:rPr>
        <w:t>contracts</w:t>
      </w:r>
    </w:p>
    <w:p>
      <w:pPr>
        <w:pStyle w:val="BodyText"/>
        <w:spacing w:line="276" w:lineRule="auto" w:before="31"/>
        <w:ind w:left="560" w:right="-1"/>
      </w:pPr>
      <w:r>
        <w:rPr>
          <w:color w:val="231F20"/>
          <w:w w:val="105"/>
        </w:rPr>
        <w:t>There</w:t>
      </w:r>
      <w:r>
        <w:rPr>
          <w:color w:val="231F20"/>
          <w:spacing w:val="-19"/>
          <w:w w:val="105"/>
        </w:rPr>
        <w:t> </w:t>
      </w:r>
      <w:r>
        <w:rPr>
          <w:color w:val="231F20"/>
          <w:w w:val="105"/>
        </w:rPr>
        <w:t>are</w:t>
      </w:r>
      <w:r>
        <w:rPr>
          <w:color w:val="231F20"/>
          <w:spacing w:val="-19"/>
          <w:w w:val="105"/>
        </w:rPr>
        <w:t> </w:t>
      </w:r>
      <w:r>
        <w:rPr>
          <w:color w:val="231F20"/>
          <w:w w:val="105"/>
        </w:rPr>
        <w:t>no</w:t>
      </w:r>
      <w:r>
        <w:rPr>
          <w:color w:val="231F20"/>
          <w:spacing w:val="-19"/>
          <w:w w:val="105"/>
        </w:rPr>
        <w:t> </w:t>
      </w:r>
      <w:r>
        <w:rPr>
          <w:color w:val="231F20"/>
          <w:w w:val="105"/>
        </w:rPr>
        <w:t>management</w:t>
      </w:r>
      <w:r>
        <w:rPr>
          <w:color w:val="231F20"/>
          <w:spacing w:val="-19"/>
          <w:w w:val="105"/>
        </w:rPr>
        <w:t> </w:t>
      </w:r>
      <w:r>
        <w:rPr>
          <w:color w:val="231F20"/>
          <w:w w:val="105"/>
        </w:rPr>
        <w:t>contracts</w:t>
      </w:r>
      <w:r>
        <w:rPr>
          <w:color w:val="231F20"/>
          <w:spacing w:val="-18"/>
          <w:w w:val="105"/>
        </w:rPr>
        <w:t> </w:t>
      </w:r>
      <w:r>
        <w:rPr>
          <w:color w:val="231F20"/>
          <w:w w:val="105"/>
        </w:rPr>
        <w:t>with</w:t>
      </w:r>
      <w:r>
        <w:rPr>
          <w:color w:val="231F20"/>
          <w:spacing w:val="-19"/>
          <w:w w:val="105"/>
        </w:rPr>
        <w:t> </w:t>
      </w:r>
      <w:r>
        <w:rPr>
          <w:color w:val="231F20"/>
          <w:w w:val="105"/>
        </w:rPr>
        <w:t>third</w:t>
      </w:r>
      <w:r>
        <w:rPr>
          <w:color w:val="231F20"/>
          <w:spacing w:val="-19"/>
          <w:w w:val="105"/>
        </w:rPr>
        <w:t> </w:t>
      </w:r>
      <w:r>
        <w:rPr>
          <w:color w:val="231F20"/>
          <w:w w:val="105"/>
        </w:rPr>
        <w:t>parties</w:t>
      </w:r>
      <w:r>
        <w:rPr>
          <w:color w:val="231F20"/>
          <w:spacing w:val="-19"/>
          <w:w w:val="105"/>
        </w:rPr>
        <w:t> </w:t>
      </w:r>
      <w:r>
        <w:rPr>
          <w:color w:val="231F20"/>
          <w:w w:val="105"/>
        </w:rPr>
        <w:t>at Nestlé.</w:t>
      </w:r>
    </w:p>
    <w:p>
      <w:pPr>
        <w:pStyle w:val="Heading3"/>
        <w:numPr>
          <w:ilvl w:val="0"/>
          <w:numId w:val="2"/>
        </w:numPr>
        <w:tabs>
          <w:tab w:pos="960" w:val="left" w:leader="none"/>
          <w:tab w:pos="961" w:val="left" w:leader="none"/>
        </w:tabs>
        <w:spacing w:line="240" w:lineRule="auto" w:before="109" w:after="0"/>
        <w:ind w:left="960" w:right="0" w:hanging="454"/>
        <w:jc w:val="left"/>
      </w:pPr>
      <w:r>
        <w:rPr>
          <w:color w:val="231F20"/>
          <w:spacing w:val="2"/>
          <w:w w:val="120"/>
        </w:rPr>
        <w:br w:type="column"/>
      </w:r>
      <w:r>
        <w:rPr>
          <w:color w:val="231F20"/>
          <w:w w:val="110"/>
        </w:rPr>
        <w:t>Compensation, shareholdings and</w:t>
      </w:r>
      <w:r>
        <w:rPr>
          <w:color w:val="231F20"/>
          <w:spacing w:val="-15"/>
          <w:w w:val="110"/>
        </w:rPr>
        <w:t> </w:t>
      </w:r>
      <w:r>
        <w:rPr>
          <w:color w:val="231F20"/>
          <w:w w:val="110"/>
        </w:rPr>
        <w:t>loans</w:t>
      </w:r>
    </w:p>
    <w:p>
      <w:pPr>
        <w:pStyle w:val="BodyText"/>
        <w:spacing w:before="31"/>
        <w:ind w:left="506"/>
      </w:pPr>
      <w:r>
        <w:rPr>
          <w:color w:val="231F20"/>
        </w:rPr>
        <w:t>Please refer to the Compensation Report 2013.</w:t>
      </w:r>
    </w:p>
    <w:p>
      <w:pPr>
        <w:spacing w:after="0"/>
        <w:sectPr>
          <w:type w:val="continuous"/>
          <w:pgSz w:w="11910" w:h="14750"/>
          <w:pgMar w:top="540" w:bottom="280" w:left="460" w:right="460"/>
          <w:cols w:num="2" w:equalWidth="0">
            <w:col w:w="5287" w:space="40"/>
            <w:col w:w="5663"/>
          </w:cols>
        </w:sectPr>
      </w:pPr>
    </w:p>
    <w:p>
      <w:pPr>
        <w:pStyle w:val="BodyText"/>
        <w:rPr>
          <w:sz w:val="17"/>
        </w:rPr>
      </w:pPr>
    </w:p>
    <w:p>
      <w:pPr>
        <w:spacing w:after="0"/>
        <w:rPr>
          <w:sz w:val="17"/>
        </w:rPr>
        <w:sectPr>
          <w:headerReference w:type="even" r:id="rId75"/>
          <w:headerReference w:type="default" r:id="rId76"/>
          <w:footerReference w:type="even" r:id="rId77"/>
          <w:footerReference w:type="default" r:id="rId78"/>
          <w:pgSz w:w="11910" w:h="14750"/>
          <w:pgMar w:header="1050" w:footer="509" w:top="2960" w:bottom="700" w:left="460" w:right="460"/>
          <w:pgNumType w:start="30"/>
        </w:sectPr>
      </w:pPr>
    </w:p>
    <w:p>
      <w:pPr>
        <w:pStyle w:val="Heading3"/>
        <w:numPr>
          <w:ilvl w:val="0"/>
          <w:numId w:val="2"/>
        </w:numPr>
        <w:tabs>
          <w:tab w:pos="560" w:val="left" w:leader="none"/>
          <w:tab w:pos="561" w:val="left" w:leader="none"/>
        </w:tabs>
        <w:spacing w:line="240" w:lineRule="auto" w:before="108" w:after="0"/>
        <w:ind w:left="560" w:right="0" w:hanging="454"/>
        <w:jc w:val="left"/>
      </w:pPr>
      <w:bookmarkStart w:name="Shareholders’ participation" w:id="8"/>
      <w:bookmarkEnd w:id="8"/>
      <w:r>
        <w:rPr>
          <w:b w:val="0"/>
        </w:rPr>
      </w:r>
      <w:bookmarkStart w:name="Shareholders’ participation" w:id="9"/>
      <w:bookmarkEnd w:id="9"/>
      <w:r>
        <w:rPr>
          <w:color w:val="231F20"/>
          <w:w w:val="105"/>
        </w:rPr>
        <w:t>S</w:t>
      </w:r>
      <w:r>
        <w:rPr>
          <w:color w:val="231F20"/>
          <w:w w:val="105"/>
        </w:rPr>
        <w:t>hareholders’</w:t>
      </w:r>
      <w:r>
        <w:rPr>
          <w:color w:val="231F20"/>
          <w:spacing w:val="-3"/>
          <w:w w:val="105"/>
        </w:rPr>
        <w:t> </w:t>
      </w:r>
      <w:r>
        <w:rPr>
          <w:color w:val="231F20"/>
          <w:w w:val="105"/>
        </w:rPr>
        <w:t>participation</w:t>
      </w:r>
    </w:p>
    <w:p>
      <w:pPr>
        <w:pStyle w:val="ListParagraph"/>
        <w:numPr>
          <w:ilvl w:val="1"/>
          <w:numId w:val="2"/>
        </w:numPr>
        <w:tabs>
          <w:tab w:pos="561" w:val="left" w:leader="none"/>
        </w:tabs>
        <w:spacing w:line="240" w:lineRule="auto" w:before="31" w:after="0"/>
        <w:ind w:left="560" w:right="0" w:hanging="454"/>
        <w:jc w:val="left"/>
        <w:rPr>
          <w:b/>
          <w:sz w:val="18"/>
        </w:rPr>
      </w:pPr>
      <w:r>
        <w:rPr>
          <w:b/>
          <w:color w:val="586670"/>
          <w:w w:val="110"/>
          <w:sz w:val="18"/>
        </w:rPr>
        <w:t>Voting rights and representation</w:t>
      </w:r>
      <w:r>
        <w:rPr>
          <w:b/>
          <w:color w:val="586670"/>
          <w:spacing w:val="-36"/>
          <w:w w:val="110"/>
          <w:sz w:val="18"/>
        </w:rPr>
        <w:t> </w:t>
      </w:r>
      <w:r>
        <w:rPr>
          <w:b/>
          <w:color w:val="586670"/>
          <w:w w:val="110"/>
          <w:sz w:val="18"/>
        </w:rPr>
        <w:t>restrictions</w:t>
      </w:r>
    </w:p>
    <w:p>
      <w:pPr>
        <w:pStyle w:val="ListParagraph"/>
        <w:numPr>
          <w:ilvl w:val="2"/>
          <w:numId w:val="2"/>
        </w:numPr>
        <w:tabs>
          <w:tab w:pos="477" w:val="left" w:leader="none"/>
        </w:tabs>
        <w:spacing w:line="240" w:lineRule="auto" w:before="31" w:after="0"/>
        <w:ind w:left="560" w:right="0" w:hanging="454"/>
        <w:jc w:val="left"/>
        <w:rPr>
          <w:sz w:val="18"/>
        </w:rPr>
      </w:pPr>
      <w:r>
        <w:rPr>
          <w:color w:val="586670"/>
          <w:w w:val="95"/>
          <w:sz w:val="18"/>
        </w:rPr>
        <w:t>/</w:t>
      </w:r>
      <w:r>
        <w:rPr>
          <w:color w:val="586670"/>
          <w:spacing w:val="-15"/>
          <w:w w:val="95"/>
          <w:sz w:val="18"/>
        </w:rPr>
        <w:t> </w:t>
      </w:r>
      <w:r>
        <w:rPr>
          <w:color w:val="586670"/>
          <w:sz w:val="18"/>
        </w:rPr>
        <w:t>All</w:t>
      </w:r>
      <w:r>
        <w:rPr>
          <w:color w:val="586670"/>
          <w:spacing w:val="-7"/>
          <w:sz w:val="18"/>
        </w:rPr>
        <w:t> </w:t>
      </w:r>
      <w:r>
        <w:rPr>
          <w:color w:val="586670"/>
          <w:sz w:val="18"/>
        </w:rPr>
        <w:t>voting</w:t>
      </w:r>
      <w:r>
        <w:rPr>
          <w:color w:val="586670"/>
          <w:spacing w:val="-8"/>
          <w:sz w:val="18"/>
        </w:rPr>
        <w:t> </w:t>
      </w:r>
      <w:r>
        <w:rPr>
          <w:color w:val="586670"/>
          <w:sz w:val="18"/>
        </w:rPr>
        <w:t>rights</w:t>
      </w:r>
      <w:r>
        <w:rPr>
          <w:color w:val="586670"/>
          <w:spacing w:val="-8"/>
          <w:sz w:val="18"/>
        </w:rPr>
        <w:t> </w:t>
      </w:r>
      <w:r>
        <w:rPr>
          <w:color w:val="586670"/>
          <w:sz w:val="18"/>
        </w:rPr>
        <w:t>restrictions</w:t>
      </w:r>
      <w:r>
        <w:rPr>
          <w:color w:val="586670"/>
          <w:spacing w:val="-7"/>
          <w:sz w:val="18"/>
        </w:rPr>
        <w:t> </w:t>
      </w:r>
      <w:r>
        <w:rPr>
          <w:color w:val="586670"/>
          <w:sz w:val="18"/>
        </w:rPr>
        <w:t>and</w:t>
      </w:r>
      <w:r>
        <w:rPr>
          <w:color w:val="586670"/>
          <w:spacing w:val="-8"/>
          <w:sz w:val="18"/>
        </w:rPr>
        <w:t> </w:t>
      </w:r>
      <w:r>
        <w:rPr>
          <w:color w:val="586670"/>
          <w:sz w:val="18"/>
        </w:rPr>
        <w:t>rules</w:t>
      </w:r>
      <w:r>
        <w:rPr>
          <w:color w:val="586670"/>
          <w:spacing w:val="-8"/>
          <w:sz w:val="18"/>
        </w:rPr>
        <w:t> </w:t>
      </w:r>
      <w:r>
        <w:rPr>
          <w:color w:val="586670"/>
          <w:w w:val="95"/>
          <w:sz w:val="18"/>
        </w:rPr>
        <w:t>/</w:t>
      </w:r>
    </w:p>
    <w:p>
      <w:pPr>
        <w:pStyle w:val="ListParagraph"/>
        <w:numPr>
          <w:ilvl w:val="2"/>
          <w:numId w:val="2"/>
        </w:numPr>
        <w:tabs>
          <w:tab w:pos="561" w:val="left" w:leader="none"/>
        </w:tabs>
        <w:spacing w:line="276" w:lineRule="auto" w:before="31" w:after="0"/>
        <w:ind w:left="560" w:right="1046" w:hanging="454"/>
        <w:jc w:val="left"/>
        <w:rPr>
          <w:sz w:val="18"/>
        </w:rPr>
      </w:pPr>
      <w:r>
        <w:rPr>
          <w:color w:val="586670"/>
          <w:sz w:val="18"/>
        </w:rPr>
        <w:t>Reasons for granting exceptions in the year under</w:t>
      </w:r>
      <w:r>
        <w:rPr>
          <w:color w:val="586670"/>
          <w:spacing w:val="-8"/>
          <w:sz w:val="18"/>
        </w:rPr>
        <w:t> </w:t>
      </w:r>
      <w:r>
        <w:rPr>
          <w:color w:val="586670"/>
          <w:sz w:val="18"/>
        </w:rPr>
        <w:t>review</w:t>
      </w:r>
    </w:p>
    <w:p>
      <w:pPr>
        <w:pStyle w:val="BodyText"/>
        <w:spacing w:line="276" w:lineRule="auto"/>
        <w:ind w:left="106" w:right="85"/>
      </w:pPr>
      <w:r>
        <w:rPr>
          <w:color w:val="231F20"/>
        </w:rPr>
        <w:t>Only persons entered in the share register as shareholders with voting rights may exercise the voting rights or the other rights related thereto (art. 5 par. 2 of the Articles of Association).</w:t>
      </w:r>
    </w:p>
    <w:p>
      <w:pPr>
        <w:pStyle w:val="BodyText"/>
        <w:spacing w:line="276" w:lineRule="auto"/>
        <w:ind w:left="106" w:right="85" w:firstLine="226"/>
      </w:pPr>
      <w:r>
        <w:rPr>
          <w:color w:val="231F20"/>
          <w:w w:val="105"/>
        </w:rPr>
        <w:t>No person may exercise, directly or indirectly, voting rights,</w:t>
      </w:r>
      <w:r>
        <w:rPr>
          <w:color w:val="231F20"/>
          <w:spacing w:val="-11"/>
          <w:w w:val="105"/>
        </w:rPr>
        <w:t> </w:t>
      </w:r>
      <w:r>
        <w:rPr>
          <w:color w:val="231F20"/>
          <w:w w:val="105"/>
        </w:rPr>
        <w:t>with</w:t>
      </w:r>
      <w:r>
        <w:rPr>
          <w:color w:val="231F20"/>
          <w:spacing w:val="-10"/>
          <w:w w:val="105"/>
        </w:rPr>
        <w:t> </w:t>
      </w:r>
      <w:r>
        <w:rPr>
          <w:color w:val="231F20"/>
          <w:w w:val="105"/>
        </w:rPr>
        <w:t>respect</w:t>
      </w:r>
      <w:r>
        <w:rPr>
          <w:color w:val="231F20"/>
          <w:spacing w:val="-11"/>
          <w:w w:val="105"/>
        </w:rPr>
        <w:t> </w:t>
      </w:r>
      <w:r>
        <w:rPr>
          <w:color w:val="231F20"/>
          <w:w w:val="105"/>
        </w:rPr>
        <w:t>to</w:t>
      </w:r>
      <w:r>
        <w:rPr>
          <w:color w:val="231F20"/>
          <w:spacing w:val="-10"/>
          <w:w w:val="105"/>
        </w:rPr>
        <w:t> </w:t>
      </w:r>
      <w:r>
        <w:rPr>
          <w:color w:val="231F20"/>
          <w:w w:val="105"/>
        </w:rPr>
        <w:t>own</w:t>
      </w:r>
      <w:r>
        <w:rPr>
          <w:color w:val="231F20"/>
          <w:spacing w:val="-11"/>
          <w:w w:val="105"/>
        </w:rPr>
        <w:t> </w:t>
      </w:r>
      <w:r>
        <w:rPr>
          <w:color w:val="231F20"/>
          <w:w w:val="105"/>
        </w:rPr>
        <w:t>shares</w:t>
      </w:r>
      <w:r>
        <w:rPr>
          <w:color w:val="231F20"/>
          <w:spacing w:val="-10"/>
          <w:w w:val="105"/>
        </w:rPr>
        <w:t> </w:t>
      </w:r>
      <w:r>
        <w:rPr>
          <w:color w:val="231F20"/>
          <w:w w:val="105"/>
        </w:rPr>
        <w:t>or</w:t>
      </w:r>
      <w:r>
        <w:rPr>
          <w:color w:val="231F20"/>
          <w:spacing w:val="-11"/>
          <w:w w:val="105"/>
        </w:rPr>
        <w:t> </w:t>
      </w:r>
      <w:r>
        <w:rPr>
          <w:color w:val="231F20"/>
          <w:w w:val="105"/>
        </w:rPr>
        <w:t>shares</w:t>
      </w:r>
      <w:r>
        <w:rPr>
          <w:color w:val="231F20"/>
          <w:spacing w:val="-10"/>
          <w:w w:val="105"/>
        </w:rPr>
        <w:t> </w:t>
      </w:r>
      <w:r>
        <w:rPr>
          <w:color w:val="231F20"/>
          <w:w w:val="105"/>
        </w:rPr>
        <w:t>represented</w:t>
      </w:r>
      <w:r>
        <w:rPr>
          <w:color w:val="231F20"/>
          <w:spacing w:val="-11"/>
          <w:w w:val="105"/>
        </w:rPr>
        <w:t> </w:t>
      </w:r>
      <w:r>
        <w:rPr>
          <w:color w:val="231F20"/>
          <w:w w:val="105"/>
        </w:rPr>
        <w:t>by proxy, in excess of 5% of the share capital as recorded in the</w:t>
      </w:r>
      <w:r>
        <w:rPr>
          <w:color w:val="231F20"/>
          <w:spacing w:val="-27"/>
          <w:w w:val="105"/>
        </w:rPr>
        <w:t> </w:t>
      </w:r>
      <w:r>
        <w:rPr>
          <w:color w:val="231F20"/>
          <w:w w:val="105"/>
        </w:rPr>
        <w:t>commercial</w:t>
      </w:r>
      <w:r>
        <w:rPr>
          <w:color w:val="231F20"/>
          <w:spacing w:val="-27"/>
          <w:w w:val="105"/>
        </w:rPr>
        <w:t> </w:t>
      </w:r>
      <w:r>
        <w:rPr>
          <w:color w:val="231F20"/>
          <w:w w:val="105"/>
        </w:rPr>
        <w:t>register.</w:t>
      </w:r>
      <w:r>
        <w:rPr>
          <w:color w:val="231F20"/>
          <w:spacing w:val="-27"/>
          <w:w w:val="105"/>
        </w:rPr>
        <w:t> </w:t>
      </w:r>
      <w:r>
        <w:rPr>
          <w:color w:val="231F20"/>
          <w:w w:val="105"/>
        </w:rPr>
        <w:t>Legal</w:t>
      </w:r>
      <w:r>
        <w:rPr>
          <w:color w:val="231F20"/>
          <w:spacing w:val="-27"/>
          <w:w w:val="105"/>
        </w:rPr>
        <w:t> </w:t>
      </w:r>
      <w:r>
        <w:rPr>
          <w:color w:val="231F20"/>
          <w:w w:val="105"/>
        </w:rPr>
        <w:t>entities</w:t>
      </w:r>
      <w:r>
        <w:rPr>
          <w:color w:val="231F20"/>
          <w:spacing w:val="-27"/>
          <w:w w:val="105"/>
        </w:rPr>
        <w:t> </w:t>
      </w:r>
      <w:r>
        <w:rPr>
          <w:color w:val="231F20"/>
          <w:w w:val="105"/>
        </w:rPr>
        <w:t>that</w:t>
      </w:r>
      <w:r>
        <w:rPr>
          <w:color w:val="231F20"/>
          <w:spacing w:val="-27"/>
          <w:w w:val="105"/>
        </w:rPr>
        <w:t> </w:t>
      </w:r>
      <w:r>
        <w:rPr>
          <w:color w:val="231F20"/>
          <w:w w:val="105"/>
        </w:rPr>
        <w:t>are</w:t>
      </w:r>
      <w:r>
        <w:rPr>
          <w:color w:val="231F20"/>
          <w:spacing w:val="-27"/>
          <w:w w:val="105"/>
        </w:rPr>
        <w:t> </w:t>
      </w:r>
      <w:r>
        <w:rPr>
          <w:color w:val="231F20"/>
          <w:w w:val="105"/>
        </w:rPr>
        <w:t>linked</w:t>
      </w:r>
      <w:r>
        <w:rPr>
          <w:color w:val="231F20"/>
          <w:spacing w:val="-27"/>
          <w:w w:val="105"/>
        </w:rPr>
        <w:t> </w:t>
      </w:r>
      <w:r>
        <w:rPr>
          <w:color w:val="231F20"/>
          <w:w w:val="105"/>
        </w:rPr>
        <w:t>to</w:t>
      </w:r>
      <w:r>
        <w:rPr>
          <w:color w:val="231F20"/>
          <w:spacing w:val="-27"/>
          <w:w w:val="105"/>
        </w:rPr>
        <w:t> </w:t>
      </w:r>
      <w:r>
        <w:rPr>
          <w:color w:val="231F20"/>
          <w:w w:val="105"/>
        </w:rPr>
        <w:t>one another through capital, voting rights, management or in any other manner, as well as all natural persons or legal entities achieving an understanding or forming a syndicate or otherwise acting in </w:t>
      </w:r>
      <w:r>
        <w:rPr>
          <w:color w:val="231F20"/>
          <w:spacing w:val="2"/>
          <w:w w:val="105"/>
        </w:rPr>
        <w:t>concert </w:t>
      </w:r>
      <w:r>
        <w:rPr>
          <w:color w:val="231F20"/>
          <w:w w:val="105"/>
        </w:rPr>
        <w:t>to circumvent such a limit shall be counted as one shareholder (art. </w:t>
      </w:r>
      <w:r>
        <w:rPr>
          <w:color w:val="231F20"/>
          <w:spacing w:val="-10"/>
          <w:w w:val="105"/>
        </w:rPr>
        <w:t>11 </w:t>
      </w:r>
      <w:r>
        <w:rPr>
          <w:color w:val="231F20"/>
          <w:spacing w:val="-3"/>
          <w:w w:val="105"/>
        </w:rPr>
        <w:t>par. </w:t>
      </w:r>
      <w:r>
        <w:rPr>
          <w:color w:val="231F20"/>
          <w:w w:val="105"/>
        </w:rPr>
        <w:t>2 of the Articles of Association; see art. </w:t>
      </w:r>
      <w:r>
        <w:rPr>
          <w:color w:val="231F20"/>
          <w:spacing w:val="-10"/>
          <w:w w:val="105"/>
        </w:rPr>
        <w:t>11 </w:t>
      </w:r>
      <w:r>
        <w:rPr>
          <w:color w:val="231F20"/>
          <w:spacing w:val="-3"/>
          <w:w w:val="105"/>
        </w:rPr>
        <w:t>par. </w:t>
      </w:r>
      <w:r>
        <w:rPr>
          <w:color w:val="231F20"/>
          <w:w w:val="105"/>
        </w:rPr>
        <w:t>3 of the Articles of Association</w:t>
      </w:r>
      <w:r>
        <w:rPr>
          <w:color w:val="231F20"/>
          <w:spacing w:val="-13"/>
          <w:w w:val="105"/>
        </w:rPr>
        <w:t> </w:t>
      </w:r>
      <w:r>
        <w:rPr>
          <w:color w:val="231F20"/>
          <w:w w:val="105"/>
        </w:rPr>
        <w:t>for</w:t>
      </w:r>
      <w:r>
        <w:rPr>
          <w:color w:val="231F20"/>
          <w:spacing w:val="-12"/>
          <w:w w:val="105"/>
        </w:rPr>
        <w:t> </w:t>
      </w:r>
      <w:r>
        <w:rPr>
          <w:color w:val="231F20"/>
          <w:w w:val="105"/>
        </w:rPr>
        <w:t>exceptions</w:t>
      </w:r>
      <w:r>
        <w:rPr>
          <w:color w:val="231F20"/>
          <w:spacing w:val="-12"/>
          <w:w w:val="105"/>
        </w:rPr>
        <w:t> </w:t>
      </w:r>
      <w:r>
        <w:rPr>
          <w:color w:val="231F20"/>
          <w:w w:val="105"/>
        </w:rPr>
        <w:t>to</w:t>
      </w:r>
      <w:r>
        <w:rPr>
          <w:color w:val="231F20"/>
          <w:spacing w:val="-12"/>
          <w:w w:val="105"/>
        </w:rPr>
        <w:t> </w:t>
      </w:r>
      <w:r>
        <w:rPr>
          <w:color w:val="231F20"/>
          <w:w w:val="105"/>
        </w:rPr>
        <w:t>this</w:t>
      </w:r>
      <w:r>
        <w:rPr>
          <w:color w:val="231F20"/>
          <w:spacing w:val="-12"/>
          <w:w w:val="105"/>
        </w:rPr>
        <w:t> </w:t>
      </w:r>
      <w:r>
        <w:rPr>
          <w:color w:val="231F20"/>
          <w:w w:val="105"/>
        </w:rPr>
        <w:t>voting</w:t>
      </w:r>
      <w:r>
        <w:rPr>
          <w:color w:val="231F20"/>
          <w:spacing w:val="-13"/>
          <w:w w:val="105"/>
        </w:rPr>
        <w:t> </w:t>
      </w:r>
      <w:r>
        <w:rPr>
          <w:color w:val="231F20"/>
          <w:w w:val="105"/>
        </w:rPr>
        <w:t>restriction).</w:t>
      </w:r>
    </w:p>
    <w:p>
      <w:pPr>
        <w:pStyle w:val="BodyText"/>
        <w:spacing w:line="276" w:lineRule="auto"/>
        <w:ind w:left="106" w:right="14" w:firstLine="226"/>
      </w:pPr>
      <w:r>
        <w:rPr>
          <w:color w:val="231F20"/>
          <w:spacing w:val="-7"/>
          <w:w w:val="105"/>
        </w:rPr>
        <w:t>To </w:t>
      </w:r>
      <w:r>
        <w:rPr>
          <w:color w:val="231F20"/>
          <w:w w:val="105"/>
        </w:rPr>
        <w:t>permit the exercise of voting rights in respect of shares</w:t>
      </w:r>
      <w:r>
        <w:rPr>
          <w:color w:val="231F20"/>
          <w:spacing w:val="-16"/>
          <w:w w:val="105"/>
        </w:rPr>
        <w:t> </w:t>
      </w:r>
      <w:r>
        <w:rPr>
          <w:color w:val="231F20"/>
          <w:w w:val="105"/>
        </w:rPr>
        <w:t>deposited</w:t>
      </w:r>
      <w:r>
        <w:rPr>
          <w:color w:val="231F20"/>
          <w:spacing w:val="-16"/>
          <w:w w:val="105"/>
        </w:rPr>
        <w:t> </w:t>
      </w:r>
      <w:r>
        <w:rPr>
          <w:color w:val="231F20"/>
          <w:w w:val="105"/>
        </w:rPr>
        <w:t>with</w:t>
      </w:r>
      <w:r>
        <w:rPr>
          <w:color w:val="231F20"/>
          <w:spacing w:val="-16"/>
          <w:w w:val="105"/>
        </w:rPr>
        <w:t> </w:t>
      </w:r>
      <w:r>
        <w:rPr>
          <w:color w:val="231F20"/>
          <w:w w:val="105"/>
        </w:rPr>
        <w:t>banks,</w:t>
      </w:r>
      <w:r>
        <w:rPr>
          <w:color w:val="231F20"/>
          <w:spacing w:val="-16"/>
          <w:w w:val="105"/>
        </w:rPr>
        <w:t> </w:t>
      </w:r>
      <w:r>
        <w:rPr>
          <w:color w:val="231F20"/>
          <w:w w:val="105"/>
        </w:rPr>
        <w:t>in</w:t>
      </w:r>
      <w:r>
        <w:rPr>
          <w:color w:val="231F20"/>
          <w:spacing w:val="-16"/>
          <w:w w:val="105"/>
        </w:rPr>
        <w:t> </w:t>
      </w:r>
      <w:r>
        <w:rPr>
          <w:color w:val="231F20"/>
          <w:w w:val="105"/>
        </w:rPr>
        <w:t>line</w:t>
      </w:r>
      <w:r>
        <w:rPr>
          <w:color w:val="231F20"/>
          <w:spacing w:val="-16"/>
          <w:w w:val="105"/>
        </w:rPr>
        <w:t> </w:t>
      </w:r>
      <w:r>
        <w:rPr>
          <w:color w:val="231F20"/>
          <w:w w:val="105"/>
        </w:rPr>
        <w:t>with</w:t>
      </w:r>
      <w:r>
        <w:rPr>
          <w:color w:val="231F20"/>
          <w:spacing w:val="-15"/>
          <w:w w:val="105"/>
        </w:rPr>
        <w:t> </w:t>
      </w:r>
      <w:r>
        <w:rPr>
          <w:color w:val="231F20"/>
          <w:w w:val="105"/>
        </w:rPr>
        <w:t>art.</w:t>
      </w:r>
      <w:r>
        <w:rPr>
          <w:color w:val="231F20"/>
          <w:spacing w:val="-16"/>
          <w:w w:val="105"/>
        </w:rPr>
        <w:t> </w:t>
      </w:r>
      <w:r>
        <w:rPr>
          <w:color w:val="231F20"/>
          <w:spacing w:val="-10"/>
          <w:w w:val="105"/>
        </w:rPr>
        <w:t>11</w:t>
      </w:r>
      <w:r>
        <w:rPr>
          <w:color w:val="231F20"/>
          <w:spacing w:val="-16"/>
          <w:w w:val="105"/>
        </w:rPr>
        <w:t> </w:t>
      </w:r>
      <w:r>
        <w:rPr>
          <w:color w:val="231F20"/>
          <w:spacing w:val="-3"/>
          <w:w w:val="105"/>
        </w:rPr>
        <w:t>par.</w:t>
      </w:r>
      <w:r>
        <w:rPr>
          <w:color w:val="231F20"/>
          <w:spacing w:val="-16"/>
          <w:w w:val="105"/>
        </w:rPr>
        <w:t> </w:t>
      </w:r>
      <w:r>
        <w:rPr>
          <w:color w:val="231F20"/>
          <w:w w:val="105"/>
        </w:rPr>
        <w:t>4</w:t>
      </w:r>
      <w:r>
        <w:rPr>
          <w:color w:val="231F20"/>
          <w:spacing w:val="-16"/>
          <w:w w:val="105"/>
        </w:rPr>
        <w:t> </w:t>
      </w:r>
      <w:r>
        <w:rPr>
          <w:color w:val="231F20"/>
          <w:w w:val="105"/>
        </w:rPr>
        <w:t>of</w:t>
      </w:r>
      <w:r>
        <w:rPr>
          <w:color w:val="231F20"/>
          <w:spacing w:val="-16"/>
          <w:w w:val="105"/>
        </w:rPr>
        <w:t> </w:t>
      </w:r>
      <w:r>
        <w:rPr>
          <w:color w:val="231F20"/>
          <w:w w:val="105"/>
        </w:rPr>
        <w:t>the Articles of Association, the Board of Directors may grant and has granted exceptions to certain banks to vote shares deposited by their clients which in aggregate are in excess of 5% of the share</w:t>
      </w:r>
      <w:r>
        <w:rPr>
          <w:color w:val="231F20"/>
          <w:spacing w:val="-31"/>
          <w:w w:val="105"/>
        </w:rPr>
        <w:t> </w:t>
      </w:r>
      <w:r>
        <w:rPr>
          <w:color w:val="231F20"/>
          <w:w w:val="105"/>
        </w:rPr>
        <w:t>capital.</w:t>
      </w:r>
    </w:p>
    <w:p>
      <w:pPr>
        <w:pStyle w:val="BodyText"/>
        <w:spacing w:line="276" w:lineRule="auto"/>
        <w:ind w:left="106" w:right="338" w:firstLine="226"/>
      </w:pPr>
      <w:r>
        <w:rPr>
          <w:color w:val="231F20"/>
          <w:w w:val="105"/>
        </w:rPr>
        <w:t>In</w:t>
      </w:r>
      <w:r>
        <w:rPr>
          <w:color w:val="231F20"/>
          <w:spacing w:val="-19"/>
          <w:w w:val="105"/>
        </w:rPr>
        <w:t> </w:t>
      </w:r>
      <w:r>
        <w:rPr>
          <w:color w:val="231F20"/>
          <w:w w:val="105"/>
        </w:rPr>
        <w:t>order</w:t>
      </w:r>
      <w:r>
        <w:rPr>
          <w:color w:val="231F20"/>
          <w:spacing w:val="-18"/>
          <w:w w:val="105"/>
        </w:rPr>
        <w:t> </w:t>
      </w:r>
      <w:r>
        <w:rPr>
          <w:color w:val="231F20"/>
          <w:w w:val="105"/>
        </w:rPr>
        <w:t>to</w:t>
      </w:r>
      <w:r>
        <w:rPr>
          <w:color w:val="231F20"/>
          <w:spacing w:val="-18"/>
          <w:w w:val="105"/>
        </w:rPr>
        <w:t> </w:t>
      </w:r>
      <w:r>
        <w:rPr>
          <w:color w:val="231F20"/>
          <w:w w:val="105"/>
        </w:rPr>
        <w:t>facilitate</w:t>
      </w:r>
      <w:r>
        <w:rPr>
          <w:color w:val="231F20"/>
          <w:spacing w:val="-19"/>
          <w:w w:val="105"/>
        </w:rPr>
        <w:t> </w:t>
      </w:r>
      <w:r>
        <w:rPr>
          <w:color w:val="231F20"/>
          <w:w w:val="105"/>
        </w:rPr>
        <w:t>trading</w:t>
      </w:r>
      <w:r>
        <w:rPr>
          <w:color w:val="231F20"/>
          <w:spacing w:val="-18"/>
          <w:w w:val="105"/>
        </w:rPr>
        <w:t> </w:t>
      </w:r>
      <w:r>
        <w:rPr>
          <w:color w:val="231F20"/>
          <w:w w:val="105"/>
        </w:rPr>
        <w:t>of</w:t>
      </w:r>
      <w:r>
        <w:rPr>
          <w:color w:val="231F20"/>
          <w:spacing w:val="-18"/>
          <w:w w:val="105"/>
        </w:rPr>
        <w:t> </w:t>
      </w:r>
      <w:r>
        <w:rPr>
          <w:color w:val="231F20"/>
          <w:w w:val="105"/>
        </w:rPr>
        <w:t>the</w:t>
      </w:r>
      <w:r>
        <w:rPr>
          <w:color w:val="231F20"/>
          <w:spacing w:val="-19"/>
          <w:w w:val="105"/>
        </w:rPr>
        <w:t> </w:t>
      </w:r>
      <w:r>
        <w:rPr>
          <w:color w:val="231F20"/>
          <w:w w:val="105"/>
        </w:rPr>
        <w:t>shares</w:t>
      </w:r>
      <w:r>
        <w:rPr>
          <w:color w:val="231F20"/>
          <w:spacing w:val="-18"/>
          <w:w w:val="105"/>
        </w:rPr>
        <w:t> </w:t>
      </w:r>
      <w:r>
        <w:rPr>
          <w:color w:val="231F20"/>
          <w:w w:val="105"/>
        </w:rPr>
        <w:t>on</w:t>
      </w:r>
      <w:r>
        <w:rPr>
          <w:color w:val="231F20"/>
          <w:spacing w:val="-18"/>
          <w:w w:val="105"/>
        </w:rPr>
        <w:t> </w:t>
      </w:r>
      <w:r>
        <w:rPr>
          <w:color w:val="231F20"/>
          <w:w w:val="105"/>
        </w:rPr>
        <w:t>the</w:t>
      </w:r>
      <w:r>
        <w:rPr>
          <w:color w:val="231F20"/>
          <w:spacing w:val="-18"/>
          <w:w w:val="105"/>
        </w:rPr>
        <w:t> </w:t>
      </w:r>
      <w:r>
        <w:rPr>
          <w:color w:val="231F20"/>
          <w:w w:val="105"/>
        </w:rPr>
        <w:t>Stock Exchange, the Board of Directors has issued regulations and authorised certain nominees to exceed the 5% limit to</w:t>
      </w:r>
      <w:r>
        <w:rPr>
          <w:color w:val="231F20"/>
          <w:spacing w:val="-9"/>
          <w:w w:val="105"/>
        </w:rPr>
        <w:t> </w:t>
      </w:r>
      <w:r>
        <w:rPr>
          <w:color w:val="231F20"/>
          <w:w w:val="105"/>
        </w:rPr>
        <w:t>be</w:t>
      </w:r>
      <w:r>
        <w:rPr>
          <w:color w:val="231F20"/>
          <w:spacing w:val="-8"/>
          <w:w w:val="105"/>
        </w:rPr>
        <w:t> </w:t>
      </w:r>
      <w:r>
        <w:rPr>
          <w:color w:val="231F20"/>
          <w:w w:val="105"/>
        </w:rPr>
        <w:t>registered</w:t>
      </w:r>
      <w:r>
        <w:rPr>
          <w:color w:val="231F20"/>
          <w:spacing w:val="-8"/>
          <w:w w:val="105"/>
        </w:rPr>
        <w:t> </w:t>
      </w:r>
      <w:r>
        <w:rPr>
          <w:color w:val="231F20"/>
          <w:w w:val="105"/>
        </w:rPr>
        <w:t>as</w:t>
      </w:r>
      <w:r>
        <w:rPr>
          <w:color w:val="231F20"/>
          <w:spacing w:val="-8"/>
          <w:w w:val="105"/>
        </w:rPr>
        <w:t> </w:t>
      </w:r>
      <w:r>
        <w:rPr>
          <w:color w:val="231F20"/>
          <w:w w:val="105"/>
        </w:rPr>
        <w:t>nominees</w:t>
      </w:r>
      <w:r>
        <w:rPr>
          <w:color w:val="231F20"/>
          <w:spacing w:val="-8"/>
          <w:w w:val="105"/>
        </w:rPr>
        <w:t> </w:t>
      </w:r>
      <w:r>
        <w:rPr>
          <w:color w:val="231F20"/>
          <w:w w:val="105"/>
        </w:rPr>
        <w:t>with</w:t>
      </w:r>
      <w:r>
        <w:rPr>
          <w:color w:val="231F20"/>
          <w:spacing w:val="-8"/>
          <w:w w:val="105"/>
        </w:rPr>
        <w:t> </w:t>
      </w:r>
      <w:r>
        <w:rPr>
          <w:color w:val="231F20"/>
          <w:w w:val="105"/>
        </w:rPr>
        <w:t>voting</w:t>
      </w:r>
      <w:r>
        <w:rPr>
          <w:color w:val="231F20"/>
          <w:spacing w:val="-8"/>
          <w:w w:val="105"/>
        </w:rPr>
        <w:t> </w:t>
      </w:r>
      <w:r>
        <w:rPr>
          <w:color w:val="231F20"/>
          <w:w w:val="105"/>
        </w:rPr>
        <w:t>rights.</w:t>
      </w:r>
    </w:p>
    <w:p>
      <w:pPr>
        <w:pStyle w:val="BodyText"/>
        <w:spacing w:before="10"/>
        <w:rPr>
          <w:sz w:val="19"/>
        </w:rPr>
      </w:pPr>
    </w:p>
    <w:p>
      <w:pPr>
        <w:pStyle w:val="ListParagraph"/>
        <w:numPr>
          <w:ilvl w:val="2"/>
          <w:numId w:val="2"/>
        </w:numPr>
        <w:tabs>
          <w:tab w:pos="561" w:val="left" w:leader="none"/>
        </w:tabs>
        <w:spacing w:line="276" w:lineRule="auto" w:before="0" w:after="0"/>
        <w:ind w:left="560" w:right="525" w:hanging="454"/>
        <w:jc w:val="left"/>
        <w:rPr>
          <w:sz w:val="18"/>
        </w:rPr>
      </w:pPr>
      <w:r>
        <w:rPr>
          <w:color w:val="586670"/>
          <w:sz w:val="18"/>
        </w:rPr>
        <w:t>Procedure and conditions for abolishing statutory voting rights</w:t>
      </w:r>
      <w:r>
        <w:rPr>
          <w:color w:val="586670"/>
          <w:spacing w:val="-14"/>
          <w:sz w:val="18"/>
        </w:rPr>
        <w:t> </w:t>
      </w:r>
      <w:r>
        <w:rPr>
          <w:color w:val="586670"/>
          <w:sz w:val="18"/>
        </w:rPr>
        <w:t>restrictions</w:t>
      </w:r>
    </w:p>
    <w:p>
      <w:pPr>
        <w:pStyle w:val="BodyText"/>
        <w:spacing w:line="276" w:lineRule="auto"/>
        <w:ind w:left="106" w:right="85"/>
      </w:pPr>
      <w:r>
        <w:rPr>
          <w:color w:val="231F20"/>
        </w:rPr>
        <w:t>A resolution to amend the provisions of the Articles of Association relating to:</w:t>
      </w:r>
    </w:p>
    <w:p>
      <w:pPr>
        <w:pStyle w:val="ListParagraph"/>
        <w:numPr>
          <w:ilvl w:val="0"/>
          <w:numId w:val="13"/>
        </w:numPr>
        <w:tabs>
          <w:tab w:pos="334" w:val="left" w:leader="none"/>
        </w:tabs>
        <w:spacing w:line="276" w:lineRule="auto" w:before="0" w:after="0"/>
        <w:ind w:left="333" w:right="616" w:hanging="227"/>
        <w:jc w:val="left"/>
        <w:rPr>
          <w:sz w:val="18"/>
        </w:rPr>
      </w:pPr>
      <w:r>
        <w:rPr>
          <w:color w:val="231F20"/>
          <w:sz w:val="18"/>
        </w:rPr>
        <w:t>restrictions on the exercise of voting rights and the change or removal of such restrictions,</w:t>
      </w:r>
      <w:r>
        <w:rPr>
          <w:color w:val="231F20"/>
          <w:spacing w:val="12"/>
          <w:sz w:val="18"/>
        </w:rPr>
        <w:t> </w:t>
      </w:r>
      <w:r>
        <w:rPr>
          <w:color w:val="231F20"/>
          <w:sz w:val="18"/>
        </w:rPr>
        <w:t>or</w:t>
      </w:r>
    </w:p>
    <w:p>
      <w:pPr>
        <w:pStyle w:val="ListParagraph"/>
        <w:numPr>
          <w:ilvl w:val="0"/>
          <w:numId w:val="13"/>
        </w:numPr>
        <w:tabs>
          <w:tab w:pos="334" w:val="left" w:leader="none"/>
        </w:tabs>
        <w:spacing w:line="276" w:lineRule="auto" w:before="0" w:after="0"/>
        <w:ind w:left="333" w:right="231" w:hanging="227"/>
        <w:jc w:val="left"/>
        <w:rPr>
          <w:sz w:val="18"/>
        </w:rPr>
      </w:pPr>
      <w:r>
        <w:rPr>
          <w:color w:val="231F20"/>
          <w:sz w:val="18"/>
        </w:rPr>
        <w:t>the limitation on registration or the limitation on voting rights and the change or removal of such limitations requires a majority of two thirds of the shares represented and the absolute majority of the nominal value represented at the General Meeting (art. </w:t>
      </w:r>
      <w:r>
        <w:rPr>
          <w:color w:val="231F20"/>
          <w:spacing w:val="-5"/>
          <w:sz w:val="18"/>
        </w:rPr>
        <w:t>13 </w:t>
      </w:r>
      <w:r>
        <w:rPr>
          <w:color w:val="231F20"/>
          <w:sz w:val="18"/>
        </w:rPr>
        <w:t>of the Articles of Association). See also art. </w:t>
      </w:r>
      <w:r>
        <w:rPr>
          <w:color w:val="231F20"/>
          <w:spacing w:val="-10"/>
          <w:sz w:val="18"/>
        </w:rPr>
        <w:t>11 </w:t>
      </w:r>
      <w:r>
        <w:rPr>
          <w:color w:val="231F20"/>
          <w:spacing w:val="-3"/>
          <w:sz w:val="18"/>
        </w:rPr>
        <w:t>par. </w:t>
      </w:r>
      <w:r>
        <w:rPr>
          <w:color w:val="231F20"/>
          <w:sz w:val="18"/>
        </w:rPr>
        <w:t>4 of the Articles of</w:t>
      </w:r>
      <w:r>
        <w:rPr>
          <w:color w:val="231F20"/>
          <w:spacing w:val="-4"/>
          <w:sz w:val="18"/>
        </w:rPr>
        <w:t> </w:t>
      </w:r>
      <w:r>
        <w:rPr>
          <w:color w:val="231F20"/>
          <w:sz w:val="18"/>
        </w:rPr>
        <w:t>Association.</w:t>
      </w:r>
    </w:p>
    <w:p>
      <w:pPr>
        <w:pStyle w:val="ListParagraph"/>
        <w:numPr>
          <w:ilvl w:val="2"/>
          <w:numId w:val="2"/>
        </w:numPr>
        <w:tabs>
          <w:tab w:pos="561" w:val="left" w:leader="none"/>
        </w:tabs>
        <w:spacing w:line="276" w:lineRule="auto" w:before="108" w:after="0"/>
        <w:ind w:left="560" w:right="630" w:hanging="454"/>
        <w:jc w:val="left"/>
        <w:rPr>
          <w:sz w:val="18"/>
        </w:rPr>
      </w:pPr>
      <w:r>
        <w:rPr>
          <w:color w:val="586670"/>
          <w:spacing w:val="-1"/>
          <w:w w:val="131"/>
          <w:sz w:val="18"/>
        </w:rPr>
        <w:br w:type="column"/>
      </w:r>
      <w:r>
        <w:rPr>
          <w:color w:val="586670"/>
          <w:sz w:val="18"/>
        </w:rPr>
        <w:t>Statutory rules on participation in the General Meeting of shareholders if they differ from applicable legal provisions</w:t>
      </w:r>
    </w:p>
    <w:p>
      <w:pPr>
        <w:pStyle w:val="BodyText"/>
        <w:spacing w:line="276" w:lineRule="auto"/>
        <w:ind w:left="106" w:right="595"/>
      </w:pPr>
      <w:r>
        <w:rPr>
          <w:color w:val="231F20"/>
          <w:w w:val="105"/>
        </w:rPr>
        <w:t>There are no restrictions to the legal regime provided by Swiss Law. Shareholders with voting rights may have their shares represented by the proxy of their choice.</w:t>
      </w:r>
    </w:p>
    <w:p>
      <w:pPr>
        <w:pStyle w:val="BodyText"/>
        <w:spacing w:before="6"/>
        <w:rPr>
          <w:sz w:val="20"/>
        </w:rPr>
      </w:pPr>
    </w:p>
    <w:p>
      <w:pPr>
        <w:pStyle w:val="Heading3"/>
        <w:numPr>
          <w:ilvl w:val="1"/>
          <w:numId w:val="2"/>
        </w:numPr>
        <w:tabs>
          <w:tab w:pos="561" w:val="left" w:leader="none"/>
        </w:tabs>
        <w:spacing w:line="240" w:lineRule="auto" w:before="0" w:after="0"/>
        <w:ind w:left="560" w:right="0" w:hanging="454"/>
        <w:jc w:val="left"/>
      </w:pPr>
      <w:r>
        <w:rPr>
          <w:color w:val="586670"/>
          <w:w w:val="110"/>
        </w:rPr>
        <w:t>Statutory</w:t>
      </w:r>
      <w:r>
        <w:rPr>
          <w:color w:val="586670"/>
          <w:spacing w:val="-8"/>
          <w:w w:val="110"/>
        </w:rPr>
        <w:t> </w:t>
      </w:r>
      <w:r>
        <w:rPr>
          <w:color w:val="586670"/>
          <w:w w:val="110"/>
        </w:rPr>
        <w:t>quorums</w:t>
      </w:r>
    </w:p>
    <w:p>
      <w:pPr>
        <w:pStyle w:val="BodyText"/>
        <w:spacing w:before="31"/>
        <w:ind w:left="106"/>
      </w:pPr>
      <w:r>
        <w:rPr>
          <w:color w:val="231F20"/>
        </w:rPr>
        <w:t>Please refer to art. 13 of the Articles of Association.</w:t>
      </w:r>
    </w:p>
    <w:p>
      <w:pPr>
        <w:pStyle w:val="BodyText"/>
        <w:spacing w:before="4"/>
        <w:rPr>
          <w:sz w:val="23"/>
        </w:rPr>
      </w:pPr>
    </w:p>
    <w:p>
      <w:pPr>
        <w:pStyle w:val="Heading3"/>
        <w:numPr>
          <w:ilvl w:val="1"/>
          <w:numId w:val="2"/>
        </w:numPr>
        <w:tabs>
          <w:tab w:pos="561" w:val="left" w:leader="none"/>
        </w:tabs>
        <w:spacing w:line="276" w:lineRule="auto" w:before="0" w:after="0"/>
        <w:ind w:left="560" w:right="1817" w:hanging="454"/>
        <w:jc w:val="left"/>
      </w:pPr>
      <w:r>
        <w:rPr>
          <w:color w:val="586670"/>
          <w:w w:val="110"/>
        </w:rPr>
        <w:t>Convocation of the General Meeting of</w:t>
      </w:r>
      <w:r>
        <w:rPr>
          <w:color w:val="586670"/>
          <w:spacing w:val="-8"/>
          <w:w w:val="110"/>
        </w:rPr>
        <w:t> </w:t>
      </w:r>
      <w:r>
        <w:rPr>
          <w:color w:val="586670"/>
          <w:w w:val="110"/>
        </w:rPr>
        <w:t>shareholders</w:t>
      </w:r>
    </w:p>
    <w:p>
      <w:pPr>
        <w:pStyle w:val="BodyText"/>
        <w:spacing w:line="276" w:lineRule="auto"/>
        <w:ind w:left="106" w:right="794"/>
      </w:pPr>
      <w:r>
        <w:rPr>
          <w:color w:val="231F20"/>
        </w:rPr>
        <w:t>Nestlé S.A. statutory rules (art. 7 to 9 of the Articles of Association) do not differ from applicable legal provisions. An Extraordinary General Meeting requested by one or more  shareholders  whose  combined  holdings  represent at least </w:t>
      </w:r>
      <w:r>
        <w:rPr>
          <w:color w:val="231F20"/>
          <w:spacing w:val="-2"/>
        </w:rPr>
        <w:t>10% </w:t>
      </w:r>
      <w:r>
        <w:rPr>
          <w:color w:val="231F20"/>
        </w:rPr>
        <w:t>of the share capital as recorded in the commercial register must be held as promptly as practicable following such request (art. 8 </w:t>
      </w:r>
      <w:r>
        <w:rPr>
          <w:color w:val="231F20"/>
          <w:spacing w:val="-3"/>
        </w:rPr>
        <w:t>par. </w:t>
      </w:r>
      <w:r>
        <w:rPr>
          <w:color w:val="231F20"/>
        </w:rPr>
        <w:t>2 of the Articles of</w:t>
      </w:r>
      <w:r>
        <w:rPr>
          <w:color w:val="231F20"/>
          <w:spacing w:val="-5"/>
        </w:rPr>
        <w:t> </w:t>
      </w:r>
      <w:r>
        <w:rPr>
          <w:color w:val="231F20"/>
        </w:rPr>
        <w:t>Association).</w:t>
      </w:r>
    </w:p>
    <w:p>
      <w:pPr>
        <w:pStyle w:val="BodyText"/>
        <w:spacing w:before="4"/>
        <w:rPr>
          <w:sz w:val="20"/>
        </w:rPr>
      </w:pPr>
    </w:p>
    <w:p>
      <w:pPr>
        <w:pStyle w:val="Heading3"/>
        <w:numPr>
          <w:ilvl w:val="1"/>
          <w:numId w:val="2"/>
        </w:numPr>
        <w:tabs>
          <w:tab w:pos="561" w:val="left" w:leader="none"/>
        </w:tabs>
        <w:spacing w:line="240" w:lineRule="auto" w:before="0" w:after="0"/>
        <w:ind w:left="560" w:right="0" w:hanging="454"/>
        <w:jc w:val="left"/>
      </w:pPr>
      <w:r>
        <w:rPr>
          <w:color w:val="586670"/>
          <w:w w:val="110"/>
        </w:rPr>
        <w:t>Inclusion of item on the</w:t>
      </w:r>
      <w:r>
        <w:rPr>
          <w:color w:val="586670"/>
          <w:spacing w:val="-36"/>
          <w:w w:val="110"/>
        </w:rPr>
        <w:t> </w:t>
      </w:r>
      <w:r>
        <w:rPr>
          <w:color w:val="586670"/>
          <w:w w:val="110"/>
        </w:rPr>
        <w:t>agenda</w:t>
      </w:r>
    </w:p>
    <w:p>
      <w:pPr>
        <w:pStyle w:val="BodyText"/>
        <w:spacing w:line="276" w:lineRule="auto" w:before="31"/>
        <w:ind w:left="106" w:right="720"/>
      </w:pPr>
      <w:r>
        <w:rPr>
          <w:color w:val="231F20"/>
        </w:rPr>
        <w:t>One or more shareholders with voting rights whose  combined holdings represent at least </w:t>
      </w:r>
      <w:r>
        <w:rPr>
          <w:color w:val="231F20"/>
          <w:spacing w:val="-7"/>
        </w:rPr>
        <w:t>0.15% </w:t>
      </w:r>
      <w:r>
        <w:rPr>
          <w:color w:val="231F20"/>
        </w:rPr>
        <w:t>of the share capital as recorded in the commercial register may request that an item be included in the agenda of the General Meeting by making the request in writing to the Board of Directors at the latest 45 days before the meeting and specifying the agenda items and the proposals made (art. 9 </w:t>
      </w:r>
      <w:r>
        <w:rPr>
          <w:color w:val="231F20"/>
          <w:spacing w:val="-3"/>
        </w:rPr>
        <w:t>par. </w:t>
      </w:r>
      <w:r>
        <w:rPr>
          <w:color w:val="231F20"/>
        </w:rPr>
        <w:t>2 and 3 of the Articles of</w:t>
      </w:r>
      <w:r>
        <w:rPr>
          <w:color w:val="231F20"/>
          <w:spacing w:val="-4"/>
        </w:rPr>
        <w:t> </w:t>
      </w:r>
      <w:r>
        <w:rPr>
          <w:color w:val="231F20"/>
        </w:rPr>
        <w:t>Association).</w:t>
      </w:r>
    </w:p>
    <w:p>
      <w:pPr>
        <w:pStyle w:val="BodyText"/>
        <w:spacing w:before="5"/>
        <w:rPr>
          <w:sz w:val="20"/>
        </w:rPr>
      </w:pPr>
    </w:p>
    <w:p>
      <w:pPr>
        <w:pStyle w:val="Heading3"/>
        <w:numPr>
          <w:ilvl w:val="1"/>
          <w:numId w:val="2"/>
        </w:numPr>
        <w:tabs>
          <w:tab w:pos="561" w:val="left" w:leader="none"/>
        </w:tabs>
        <w:spacing w:line="240" w:lineRule="auto" w:before="0" w:after="0"/>
        <w:ind w:left="560" w:right="0" w:hanging="454"/>
        <w:jc w:val="left"/>
      </w:pPr>
      <w:r>
        <w:rPr>
          <w:color w:val="586670"/>
          <w:w w:val="105"/>
        </w:rPr>
        <w:t>Inscriptions into the share</w:t>
      </w:r>
      <w:r>
        <w:rPr>
          <w:color w:val="586670"/>
          <w:spacing w:val="-9"/>
          <w:w w:val="105"/>
        </w:rPr>
        <w:t> </w:t>
      </w:r>
      <w:r>
        <w:rPr>
          <w:color w:val="586670"/>
          <w:w w:val="105"/>
        </w:rPr>
        <w:t>register</w:t>
      </w:r>
    </w:p>
    <w:p>
      <w:pPr>
        <w:pStyle w:val="BodyText"/>
        <w:spacing w:line="276" w:lineRule="auto" w:before="31"/>
        <w:ind w:left="106" w:right="595"/>
      </w:pPr>
      <w:r>
        <w:rPr>
          <w:color w:val="231F20"/>
        </w:rPr>
        <w:t>The relevant date to determine the shareholders’ right to participate in the General Meeting on the basis of the registrations appearing in the share register is set by the Board of Directors.</w:t>
      </w:r>
    </w:p>
    <w:p>
      <w:pPr>
        <w:spacing w:after="0" w:line="276" w:lineRule="auto"/>
        <w:sectPr>
          <w:type w:val="continuous"/>
          <w:pgSz w:w="11910" w:h="14750"/>
          <w:pgMar w:top="540" w:bottom="280" w:left="460" w:right="460"/>
          <w:cols w:num="2" w:equalWidth="0">
            <w:col w:w="5194" w:space="79"/>
            <w:col w:w="5717"/>
          </w:cols>
        </w:sectPr>
      </w:pPr>
    </w:p>
    <w:p>
      <w:pPr>
        <w:pStyle w:val="BodyText"/>
        <w:rPr>
          <w:sz w:val="17"/>
        </w:rPr>
      </w:pPr>
    </w:p>
    <w:p>
      <w:pPr>
        <w:pStyle w:val="Heading3"/>
        <w:numPr>
          <w:ilvl w:val="0"/>
          <w:numId w:val="2"/>
        </w:numPr>
        <w:tabs>
          <w:tab w:pos="1014" w:val="left" w:leader="none"/>
          <w:tab w:pos="1015" w:val="left" w:leader="none"/>
        </w:tabs>
        <w:spacing w:line="240" w:lineRule="auto" w:before="108" w:after="0"/>
        <w:ind w:left="1014" w:right="0" w:hanging="454"/>
        <w:jc w:val="left"/>
      </w:pPr>
      <w:bookmarkStart w:name="Change of control and defence measures" w:id="10"/>
      <w:bookmarkEnd w:id="10"/>
      <w:r>
        <w:rPr>
          <w:b w:val="0"/>
        </w:rPr>
      </w:r>
      <w:bookmarkStart w:name="Change of control and defence measures" w:id="11"/>
      <w:bookmarkEnd w:id="11"/>
      <w:r>
        <w:rPr>
          <w:color w:val="231F20"/>
          <w:w w:val="110"/>
        </w:rPr>
        <w:t>C</w:t>
      </w:r>
      <w:r>
        <w:rPr>
          <w:color w:val="231F20"/>
          <w:w w:val="110"/>
        </w:rPr>
        <w:t>hange of control and defence</w:t>
      </w:r>
      <w:r>
        <w:rPr>
          <w:color w:val="231F20"/>
          <w:spacing w:val="-37"/>
          <w:w w:val="110"/>
        </w:rPr>
        <w:t> </w:t>
      </w:r>
      <w:r>
        <w:rPr>
          <w:color w:val="231F20"/>
          <w:w w:val="110"/>
        </w:rPr>
        <w:t>measures</w:t>
      </w:r>
    </w:p>
    <w:p>
      <w:pPr>
        <w:pStyle w:val="ListParagraph"/>
        <w:numPr>
          <w:ilvl w:val="1"/>
          <w:numId w:val="2"/>
        </w:numPr>
        <w:tabs>
          <w:tab w:pos="1015" w:val="left" w:leader="none"/>
        </w:tabs>
        <w:spacing w:line="240" w:lineRule="auto" w:before="31" w:after="0"/>
        <w:ind w:left="1014" w:right="0" w:hanging="454"/>
        <w:jc w:val="left"/>
        <w:rPr>
          <w:b/>
          <w:sz w:val="18"/>
        </w:rPr>
      </w:pPr>
      <w:r>
        <w:rPr>
          <w:b/>
          <w:color w:val="586670"/>
          <w:w w:val="110"/>
          <w:sz w:val="18"/>
        </w:rPr>
        <w:t>Duty to make an</w:t>
      </w:r>
      <w:r>
        <w:rPr>
          <w:b/>
          <w:color w:val="586670"/>
          <w:spacing w:val="-30"/>
          <w:w w:val="110"/>
          <w:sz w:val="18"/>
        </w:rPr>
        <w:t> </w:t>
      </w:r>
      <w:r>
        <w:rPr>
          <w:b/>
          <w:color w:val="586670"/>
          <w:w w:val="110"/>
          <w:sz w:val="18"/>
        </w:rPr>
        <w:t>offer</w:t>
      </w:r>
    </w:p>
    <w:p>
      <w:pPr>
        <w:pStyle w:val="BodyText"/>
        <w:spacing w:line="276" w:lineRule="auto" w:before="31"/>
        <w:ind w:left="560" w:right="5971"/>
      </w:pPr>
      <w:r>
        <w:rPr>
          <w:color w:val="231F20"/>
        </w:rPr>
        <w:t>Nestlé S.A. does not have a provision on opting out or opting up in the Articles of Association.</w:t>
      </w:r>
    </w:p>
    <w:p>
      <w:pPr>
        <w:pStyle w:val="BodyText"/>
        <w:spacing w:line="208" w:lineRule="exact"/>
        <w:ind w:left="787"/>
      </w:pPr>
      <w:r>
        <w:rPr>
          <w:color w:val="231F20"/>
        </w:rPr>
        <w:t>Thus, the provisions regarding the legally prescribed</w:t>
      </w:r>
    </w:p>
    <w:p>
      <w:pPr>
        <w:pStyle w:val="BodyText"/>
        <w:spacing w:line="240" w:lineRule="exact" w:before="8"/>
        <w:ind w:left="560" w:right="5293"/>
      </w:pPr>
      <w:r>
        <w:rPr>
          <w:color w:val="231F20"/>
          <w:w w:val="83"/>
        </w:rPr>
        <w:t>t</w:t>
      </w:r>
      <w:r>
        <w:rPr>
          <w:color w:val="231F20"/>
          <w:w w:val="108"/>
        </w:rPr>
        <w:t>h</w:t>
      </w:r>
      <w:r>
        <w:rPr>
          <w:color w:val="231F20"/>
          <w:w w:val="90"/>
        </w:rPr>
        <w:t>r</w:t>
      </w:r>
      <w:r>
        <w:rPr>
          <w:color w:val="231F20"/>
          <w:w w:val="100"/>
        </w:rPr>
        <w:t>e</w:t>
      </w:r>
      <w:r>
        <w:rPr>
          <w:color w:val="231F20"/>
          <w:w w:val="121"/>
        </w:rPr>
        <w:t>s</w:t>
      </w:r>
      <w:r>
        <w:rPr>
          <w:color w:val="231F20"/>
          <w:w w:val="108"/>
        </w:rPr>
        <w:t>h</w:t>
      </w:r>
      <w:r>
        <w:rPr>
          <w:color w:val="231F20"/>
          <w:w w:val="109"/>
        </w:rPr>
        <w:t>o</w:t>
      </w:r>
      <w:r>
        <w:rPr>
          <w:color w:val="231F20"/>
          <w:w w:val="81"/>
        </w:rPr>
        <w:t>l</w:t>
      </w:r>
      <w:r>
        <w:rPr>
          <w:color w:val="231F20"/>
          <w:w w:val="107"/>
        </w:rPr>
        <w:t>d</w:t>
      </w:r>
      <w:r>
        <w:rPr>
          <w:color w:val="231F20"/>
        </w:rPr>
        <w:t> </w:t>
      </w:r>
      <w:r>
        <w:rPr>
          <w:color w:val="231F20"/>
          <w:w w:val="109"/>
        </w:rPr>
        <w:t>o</w:t>
      </w:r>
      <w:r>
        <w:rPr>
          <w:color w:val="231F20"/>
          <w:w w:val="88"/>
        </w:rPr>
        <w:t>f</w:t>
      </w:r>
      <w:r>
        <w:rPr>
          <w:color w:val="231F20"/>
        </w:rPr>
        <w:t> </w:t>
      </w:r>
      <w:r>
        <w:rPr>
          <w:color w:val="231F20"/>
          <w:w w:val="109"/>
        </w:rPr>
        <w:t>33</w:t>
      </w:r>
      <w:r>
        <w:rPr>
          <w:color w:val="231F20"/>
          <w:w w:val="80"/>
        </w:rPr>
        <w:t>¹</w:t>
      </w:r>
      <w:r>
        <w:rPr>
          <w:color w:val="231F20"/>
          <w:w w:val="35"/>
        </w:rPr>
        <w:t>⁄</w:t>
      </w:r>
      <w:r>
        <w:rPr>
          <w:color w:val="231F20"/>
        </w:rPr>
        <w:t> </w:t>
      </w:r>
      <w:r>
        <w:rPr>
          <w:color w:val="231F20"/>
          <w:w w:val="79"/>
          <w:position w:val="-5"/>
        </w:rPr>
        <w:t>³</w:t>
      </w:r>
      <w:r>
        <w:rPr>
          <w:color w:val="231F20"/>
          <w:w w:val="156"/>
        </w:rPr>
        <w:t>%</w:t>
      </w:r>
      <w:r>
        <w:rPr>
          <w:color w:val="231F20"/>
        </w:rPr>
        <w:t> </w:t>
      </w:r>
      <w:r>
        <w:rPr>
          <w:color w:val="231F20"/>
          <w:w w:val="109"/>
        </w:rPr>
        <w:t>o</w:t>
      </w:r>
      <w:r>
        <w:rPr>
          <w:color w:val="231F20"/>
          <w:w w:val="88"/>
        </w:rPr>
        <w:t>f</w:t>
      </w:r>
      <w:r>
        <w:rPr>
          <w:color w:val="231F20"/>
        </w:rPr>
        <w:t> </w:t>
      </w:r>
      <w:r>
        <w:rPr>
          <w:color w:val="231F20"/>
          <w:w w:val="83"/>
        </w:rPr>
        <w:t>t</w:t>
      </w:r>
      <w:r>
        <w:rPr>
          <w:color w:val="231F20"/>
          <w:w w:val="108"/>
        </w:rPr>
        <w:t>h</w:t>
      </w:r>
      <w:r>
        <w:rPr>
          <w:color w:val="231F20"/>
          <w:w w:val="100"/>
        </w:rPr>
        <w:t>e</w:t>
      </w:r>
      <w:r>
        <w:rPr>
          <w:color w:val="231F20"/>
        </w:rPr>
        <w:t> </w:t>
      </w:r>
      <w:r>
        <w:rPr>
          <w:color w:val="231F20"/>
          <w:w w:val="107"/>
        </w:rPr>
        <w:t>v</w:t>
      </w:r>
      <w:r>
        <w:rPr>
          <w:color w:val="231F20"/>
          <w:w w:val="109"/>
        </w:rPr>
        <w:t>o</w:t>
      </w:r>
      <w:r>
        <w:rPr>
          <w:color w:val="231F20"/>
          <w:w w:val="83"/>
        </w:rPr>
        <w:t>t</w:t>
      </w:r>
      <w:r>
        <w:rPr>
          <w:color w:val="231F20"/>
          <w:w w:val="99"/>
        </w:rPr>
        <w:t>in</w:t>
      </w:r>
      <w:r>
        <w:rPr>
          <w:color w:val="231F20"/>
          <w:w w:val="120"/>
        </w:rPr>
        <w:t>g</w:t>
      </w:r>
      <w:r>
        <w:rPr>
          <w:color w:val="231F20"/>
        </w:rPr>
        <w:t> </w:t>
      </w:r>
      <w:r>
        <w:rPr>
          <w:color w:val="231F20"/>
          <w:w w:val="90"/>
        </w:rPr>
        <w:t>r</w:t>
      </w:r>
      <w:r>
        <w:rPr>
          <w:color w:val="231F20"/>
          <w:w w:val="83"/>
        </w:rPr>
        <w:t>i</w:t>
      </w:r>
      <w:r>
        <w:rPr>
          <w:color w:val="231F20"/>
          <w:w w:val="114"/>
        </w:rPr>
        <w:t>gh</w:t>
      </w:r>
      <w:r>
        <w:rPr>
          <w:color w:val="231F20"/>
          <w:w w:val="83"/>
        </w:rPr>
        <w:t>t</w:t>
      </w:r>
      <w:r>
        <w:rPr>
          <w:color w:val="231F20"/>
          <w:w w:val="121"/>
        </w:rPr>
        <w:t>s</w:t>
      </w:r>
      <w:r>
        <w:rPr>
          <w:color w:val="231F20"/>
        </w:rPr>
        <w:t> </w:t>
      </w:r>
      <w:r>
        <w:rPr>
          <w:color w:val="231F20"/>
          <w:w w:val="88"/>
        </w:rPr>
        <w:t>f</w:t>
      </w:r>
      <w:r>
        <w:rPr>
          <w:color w:val="231F20"/>
          <w:w w:val="109"/>
        </w:rPr>
        <w:t>o</w:t>
      </w:r>
      <w:r>
        <w:rPr>
          <w:color w:val="231F20"/>
          <w:w w:val="90"/>
        </w:rPr>
        <w:t>r</w:t>
      </w:r>
      <w:r>
        <w:rPr>
          <w:color w:val="231F20"/>
        </w:rPr>
        <w:t> </w:t>
      </w:r>
      <w:r>
        <w:rPr>
          <w:color w:val="231F20"/>
          <w:w w:val="110"/>
        </w:rPr>
        <w:t>m</w:t>
      </w:r>
      <w:r>
        <w:rPr>
          <w:color w:val="231F20"/>
          <w:w w:val="101"/>
        </w:rPr>
        <w:t>a</w:t>
      </w:r>
      <w:r>
        <w:rPr>
          <w:color w:val="231F20"/>
          <w:w w:val="104"/>
        </w:rPr>
        <w:t>k</w:t>
      </w:r>
      <w:r>
        <w:rPr>
          <w:color w:val="231F20"/>
          <w:w w:val="99"/>
        </w:rPr>
        <w:t>in</w:t>
      </w:r>
      <w:r>
        <w:rPr>
          <w:color w:val="231F20"/>
          <w:w w:val="120"/>
        </w:rPr>
        <w:t>g</w:t>
      </w:r>
      <w:r>
        <w:rPr>
          <w:color w:val="231F20"/>
        </w:rPr>
        <w:t> </w:t>
      </w:r>
      <w:r>
        <w:rPr>
          <w:color w:val="231F20"/>
          <w:w w:val="101"/>
        </w:rPr>
        <w:t>a</w:t>
      </w:r>
      <w:r>
        <w:rPr>
          <w:color w:val="231F20"/>
        </w:rPr>
        <w:t> </w:t>
      </w:r>
      <w:r>
        <w:rPr>
          <w:color w:val="231F20"/>
          <w:w w:val="107"/>
        </w:rPr>
        <w:t>p</w:t>
      </w:r>
      <w:r>
        <w:rPr>
          <w:color w:val="231F20"/>
          <w:w w:val="108"/>
        </w:rPr>
        <w:t>u</w:t>
      </w:r>
      <w:r>
        <w:rPr>
          <w:color w:val="231F20"/>
          <w:w w:val="107"/>
        </w:rPr>
        <w:t>b</w:t>
      </w:r>
      <w:r>
        <w:rPr>
          <w:color w:val="231F20"/>
          <w:w w:val="81"/>
        </w:rPr>
        <w:t>l</w:t>
      </w:r>
      <w:r>
        <w:rPr>
          <w:color w:val="231F20"/>
          <w:w w:val="83"/>
        </w:rPr>
        <w:t>i</w:t>
      </w:r>
      <w:r>
        <w:rPr>
          <w:color w:val="231F20"/>
          <w:w w:val="108"/>
        </w:rPr>
        <w:t>c </w:t>
      </w:r>
      <w:r>
        <w:rPr>
          <w:color w:val="231F20"/>
        </w:rPr>
        <w:t>takeover offer set out in art. 32 of the Swiss Stock Exchange Act are applicable.</w:t>
      </w:r>
    </w:p>
    <w:p>
      <w:pPr>
        <w:pStyle w:val="BodyText"/>
        <w:spacing w:before="8"/>
        <w:rPr>
          <w:sz w:val="22"/>
        </w:rPr>
      </w:pPr>
    </w:p>
    <w:p>
      <w:pPr>
        <w:pStyle w:val="Heading3"/>
        <w:numPr>
          <w:ilvl w:val="1"/>
          <w:numId w:val="2"/>
        </w:numPr>
        <w:tabs>
          <w:tab w:pos="1015" w:val="left" w:leader="none"/>
        </w:tabs>
        <w:spacing w:line="240" w:lineRule="auto" w:before="0" w:after="0"/>
        <w:ind w:left="1014" w:right="0" w:hanging="454"/>
        <w:jc w:val="left"/>
      </w:pPr>
      <w:r>
        <w:rPr>
          <w:color w:val="586670"/>
          <w:w w:val="110"/>
        </w:rPr>
        <w:t>Clauses on change of</w:t>
      </w:r>
      <w:r>
        <w:rPr>
          <w:color w:val="586670"/>
          <w:spacing w:val="-29"/>
          <w:w w:val="110"/>
        </w:rPr>
        <w:t> </w:t>
      </w:r>
      <w:r>
        <w:rPr>
          <w:color w:val="586670"/>
          <w:w w:val="110"/>
        </w:rPr>
        <w:t>control</w:t>
      </w:r>
    </w:p>
    <w:p>
      <w:pPr>
        <w:pStyle w:val="BodyText"/>
        <w:spacing w:before="31"/>
        <w:ind w:left="560"/>
      </w:pPr>
      <w:r>
        <w:rPr>
          <w:color w:val="231F20"/>
          <w:w w:val="105"/>
        </w:rPr>
        <w:t>There are no such agreements.</w:t>
      </w:r>
    </w:p>
    <w:p>
      <w:pPr>
        <w:spacing w:after="0"/>
        <w:sectPr>
          <w:pgSz w:w="11910" w:h="14750"/>
          <w:pgMar w:header="1050" w:footer="509" w:top="2960" w:bottom="700" w:left="460" w:right="460"/>
        </w:sectPr>
      </w:pPr>
    </w:p>
    <w:p>
      <w:pPr>
        <w:pStyle w:val="BodyText"/>
        <w:rPr>
          <w:sz w:val="17"/>
        </w:rPr>
      </w:pPr>
    </w:p>
    <w:p>
      <w:pPr>
        <w:spacing w:after="0"/>
        <w:rPr>
          <w:sz w:val="17"/>
        </w:rPr>
        <w:sectPr>
          <w:headerReference w:type="even" r:id="rId79"/>
          <w:headerReference w:type="default" r:id="rId80"/>
          <w:pgSz w:w="11910" w:h="14750"/>
          <w:pgMar w:header="1050" w:footer="509" w:top="2960" w:bottom="700" w:left="460" w:right="460"/>
        </w:sectPr>
      </w:pPr>
    </w:p>
    <w:p>
      <w:pPr>
        <w:pStyle w:val="Heading3"/>
        <w:numPr>
          <w:ilvl w:val="0"/>
          <w:numId w:val="2"/>
        </w:numPr>
        <w:tabs>
          <w:tab w:pos="560" w:val="left" w:leader="none"/>
          <w:tab w:pos="561" w:val="left" w:leader="none"/>
        </w:tabs>
        <w:spacing w:line="240" w:lineRule="auto" w:before="108" w:after="0"/>
        <w:ind w:left="560" w:right="0" w:hanging="454"/>
        <w:jc w:val="left"/>
      </w:pPr>
      <w:bookmarkStart w:name="Auditors" w:id="12"/>
      <w:bookmarkEnd w:id="12"/>
      <w:r>
        <w:rPr>
          <w:b w:val="0"/>
        </w:rPr>
      </w:r>
      <w:bookmarkStart w:name="Auditors" w:id="13"/>
      <w:bookmarkEnd w:id="13"/>
      <w:r>
        <w:rPr>
          <w:color w:val="231F20"/>
          <w:w w:val="110"/>
        </w:rPr>
        <w:t>A</w:t>
      </w:r>
      <w:r>
        <w:rPr>
          <w:color w:val="231F20"/>
          <w:w w:val="110"/>
        </w:rPr>
        <w:t>uditors</w:t>
      </w:r>
    </w:p>
    <w:p>
      <w:pPr>
        <w:pStyle w:val="ListParagraph"/>
        <w:numPr>
          <w:ilvl w:val="1"/>
          <w:numId w:val="2"/>
        </w:numPr>
        <w:tabs>
          <w:tab w:pos="561" w:val="left" w:leader="none"/>
        </w:tabs>
        <w:spacing w:line="276" w:lineRule="auto" w:before="31" w:after="0"/>
        <w:ind w:left="560" w:right="671" w:hanging="454"/>
        <w:jc w:val="left"/>
        <w:rPr>
          <w:b/>
          <w:sz w:val="18"/>
        </w:rPr>
      </w:pPr>
      <w:r>
        <w:rPr>
          <w:b/>
          <w:color w:val="586670"/>
          <w:w w:val="105"/>
          <w:sz w:val="18"/>
        </w:rPr>
        <w:t>Duration of the mandate and term of office of the lead</w:t>
      </w:r>
      <w:r>
        <w:rPr>
          <w:b/>
          <w:color w:val="586670"/>
          <w:spacing w:val="-12"/>
          <w:w w:val="105"/>
          <w:sz w:val="18"/>
        </w:rPr>
        <w:t> </w:t>
      </w:r>
      <w:r>
        <w:rPr>
          <w:b/>
          <w:color w:val="586670"/>
          <w:w w:val="105"/>
          <w:sz w:val="18"/>
        </w:rPr>
        <w:t>auditor</w:t>
      </w:r>
    </w:p>
    <w:p>
      <w:pPr>
        <w:pStyle w:val="BodyText"/>
        <w:spacing w:line="276" w:lineRule="auto"/>
        <w:ind w:left="106"/>
      </w:pPr>
      <w:r>
        <w:rPr>
          <w:color w:val="231F20"/>
          <w:w w:val="105"/>
        </w:rPr>
        <w:t>KPMG Klynveld Peat Marwick Goerdeler SA were first appointed on 22 May 1993, and KPMG SA (replacing KPMG Klynveld Peat Marwick Goerdeler SA) were first appointed on 23 April 2009 as auditors of Nestlé S.A.</w:t>
      </w:r>
    </w:p>
    <w:p>
      <w:pPr>
        <w:pStyle w:val="BodyText"/>
        <w:spacing w:line="276" w:lineRule="auto"/>
        <w:ind w:left="106" w:firstLine="226"/>
      </w:pPr>
      <w:r>
        <w:rPr>
          <w:color w:val="231F20"/>
          <w:w w:val="105"/>
        </w:rPr>
        <w:t>On </w:t>
      </w:r>
      <w:r>
        <w:rPr>
          <w:color w:val="231F20"/>
          <w:spacing w:val="-10"/>
          <w:w w:val="105"/>
        </w:rPr>
        <w:t>11 </w:t>
      </w:r>
      <w:r>
        <w:rPr>
          <w:color w:val="231F20"/>
          <w:w w:val="105"/>
        </w:rPr>
        <w:t>April </w:t>
      </w:r>
      <w:r>
        <w:rPr>
          <w:color w:val="231F20"/>
          <w:spacing w:val="-4"/>
          <w:w w:val="105"/>
        </w:rPr>
        <w:t>2013 </w:t>
      </w:r>
      <w:r>
        <w:rPr>
          <w:color w:val="231F20"/>
          <w:w w:val="105"/>
        </w:rPr>
        <w:t>KPMG SA (hereafter “KPMG”) were appointed</w:t>
      </w:r>
      <w:r>
        <w:rPr>
          <w:color w:val="231F20"/>
          <w:spacing w:val="-12"/>
          <w:w w:val="105"/>
        </w:rPr>
        <w:t> </w:t>
      </w:r>
      <w:r>
        <w:rPr>
          <w:color w:val="231F20"/>
          <w:w w:val="105"/>
        </w:rPr>
        <w:t>as</w:t>
      </w:r>
      <w:r>
        <w:rPr>
          <w:color w:val="231F20"/>
          <w:spacing w:val="-11"/>
          <w:w w:val="105"/>
        </w:rPr>
        <w:t> </w:t>
      </w:r>
      <w:r>
        <w:rPr>
          <w:color w:val="231F20"/>
          <w:w w:val="105"/>
        </w:rPr>
        <w:t>auditors</w:t>
      </w:r>
      <w:r>
        <w:rPr>
          <w:color w:val="231F20"/>
          <w:spacing w:val="-11"/>
          <w:w w:val="105"/>
        </w:rPr>
        <w:t> </w:t>
      </w:r>
      <w:r>
        <w:rPr>
          <w:color w:val="231F20"/>
          <w:w w:val="105"/>
        </w:rPr>
        <w:t>of</w:t>
      </w:r>
      <w:r>
        <w:rPr>
          <w:color w:val="231F20"/>
          <w:spacing w:val="-12"/>
          <w:w w:val="105"/>
        </w:rPr>
        <w:t> </w:t>
      </w:r>
      <w:r>
        <w:rPr>
          <w:color w:val="231F20"/>
          <w:w w:val="105"/>
        </w:rPr>
        <w:t>Nestlé</w:t>
      </w:r>
      <w:r>
        <w:rPr>
          <w:color w:val="231F20"/>
          <w:spacing w:val="-11"/>
          <w:w w:val="105"/>
        </w:rPr>
        <w:t> </w:t>
      </w:r>
      <w:r>
        <w:rPr>
          <w:color w:val="231F20"/>
          <w:w w:val="105"/>
        </w:rPr>
        <w:t>S.A.</w:t>
      </w:r>
      <w:r>
        <w:rPr>
          <w:color w:val="231F20"/>
          <w:spacing w:val="-11"/>
          <w:w w:val="105"/>
        </w:rPr>
        <w:t> </w:t>
      </w:r>
      <w:r>
        <w:rPr>
          <w:color w:val="231F20"/>
          <w:w w:val="105"/>
        </w:rPr>
        <w:t>and</w:t>
      </w:r>
      <w:r>
        <w:rPr>
          <w:color w:val="231F20"/>
          <w:spacing w:val="-12"/>
          <w:w w:val="105"/>
        </w:rPr>
        <w:t> </w:t>
      </w:r>
      <w:r>
        <w:rPr>
          <w:color w:val="231F20"/>
          <w:w w:val="105"/>
        </w:rPr>
        <w:t>of</w:t>
      </w:r>
      <w:r>
        <w:rPr>
          <w:color w:val="231F20"/>
          <w:spacing w:val="-11"/>
          <w:w w:val="105"/>
        </w:rPr>
        <w:t> </w:t>
      </w:r>
      <w:r>
        <w:rPr>
          <w:color w:val="231F20"/>
          <w:w w:val="105"/>
        </w:rPr>
        <w:t>the</w:t>
      </w:r>
      <w:r>
        <w:rPr>
          <w:color w:val="231F20"/>
          <w:spacing w:val="-11"/>
          <w:w w:val="105"/>
        </w:rPr>
        <w:t> </w:t>
      </w:r>
      <w:r>
        <w:rPr>
          <w:color w:val="231F20"/>
          <w:w w:val="105"/>
        </w:rPr>
        <w:t>Consolidated Financial</w:t>
      </w:r>
      <w:r>
        <w:rPr>
          <w:color w:val="231F20"/>
          <w:spacing w:val="-18"/>
          <w:w w:val="105"/>
        </w:rPr>
        <w:t> </w:t>
      </w:r>
      <w:r>
        <w:rPr>
          <w:color w:val="231F20"/>
          <w:w w:val="105"/>
        </w:rPr>
        <w:t>Statements</w:t>
      </w:r>
      <w:r>
        <w:rPr>
          <w:color w:val="231F20"/>
          <w:spacing w:val="-18"/>
          <w:w w:val="105"/>
        </w:rPr>
        <w:t> </w:t>
      </w:r>
      <w:r>
        <w:rPr>
          <w:color w:val="231F20"/>
          <w:w w:val="105"/>
        </w:rPr>
        <w:t>of</w:t>
      </w:r>
      <w:r>
        <w:rPr>
          <w:color w:val="231F20"/>
          <w:spacing w:val="-17"/>
          <w:w w:val="105"/>
        </w:rPr>
        <w:t> </w:t>
      </w:r>
      <w:r>
        <w:rPr>
          <w:color w:val="231F20"/>
          <w:w w:val="105"/>
        </w:rPr>
        <w:t>the</w:t>
      </w:r>
      <w:r>
        <w:rPr>
          <w:color w:val="231F20"/>
          <w:spacing w:val="-18"/>
          <w:w w:val="105"/>
        </w:rPr>
        <w:t> </w:t>
      </w:r>
      <w:r>
        <w:rPr>
          <w:color w:val="231F20"/>
          <w:w w:val="105"/>
        </w:rPr>
        <w:t>Nestlé</w:t>
      </w:r>
      <w:r>
        <w:rPr>
          <w:color w:val="231F20"/>
          <w:spacing w:val="-18"/>
          <w:w w:val="105"/>
        </w:rPr>
        <w:t> </w:t>
      </w:r>
      <w:r>
        <w:rPr>
          <w:color w:val="231F20"/>
          <w:w w:val="105"/>
        </w:rPr>
        <w:t>Group</w:t>
      </w:r>
      <w:r>
        <w:rPr>
          <w:color w:val="231F20"/>
          <w:spacing w:val="-17"/>
          <w:w w:val="105"/>
        </w:rPr>
        <w:t> </w:t>
      </w:r>
      <w:r>
        <w:rPr>
          <w:color w:val="231F20"/>
          <w:w w:val="105"/>
        </w:rPr>
        <w:t>for</w:t>
      </w:r>
      <w:r>
        <w:rPr>
          <w:color w:val="231F20"/>
          <w:spacing w:val="-18"/>
          <w:w w:val="105"/>
        </w:rPr>
        <w:t> </w:t>
      </w:r>
      <w:r>
        <w:rPr>
          <w:color w:val="231F20"/>
          <w:w w:val="105"/>
        </w:rPr>
        <w:t>a</w:t>
      </w:r>
      <w:r>
        <w:rPr>
          <w:color w:val="231F20"/>
          <w:spacing w:val="-18"/>
          <w:w w:val="105"/>
        </w:rPr>
        <w:t> </w:t>
      </w:r>
      <w:r>
        <w:rPr>
          <w:color w:val="231F20"/>
          <w:w w:val="105"/>
        </w:rPr>
        <w:t>term</w:t>
      </w:r>
      <w:r>
        <w:rPr>
          <w:color w:val="231F20"/>
          <w:spacing w:val="-17"/>
          <w:w w:val="105"/>
        </w:rPr>
        <w:t> </w:t>
      </w:r>
      <w:r>
        <w:rPr>
          <w:color w:val="231F20"/>
          <w:w w:val="105"/>
        </w:rPr>
        <w:t>of</w:t>
      </w:r>
      <w:r>
        <w:rPr>
          <w:color w:val="231F20"/>
          <w:spacing w:val="-18"/>
          <w:w w:val="105"/>
        </w:rPr>
        <w:t> </w:t>
      </w:r>
      <w:r>
        <w:rPr>
          <w:color w:val="231F20"/>
          <w:w w:val="105"/>
        </w:rPr>
        <w:t>office of one</w:t>
      </w:r>
      <w:r>
        <w:rPr>
          <w:color w:val="231F20"/>
          <w:spacing w:val="-13"/>
          <w:w w:val="105"/>
        </w:rPr>
        <w:t> </w:t>
      </w:r>
      <w:r>
        <w:rPr>
          <w:color w:val="231F20"/>
          <w:w w:val="105"/>
        </w:rPr>
        <w:t>year.</w:t>
      </w:r>
    </w:p>
    <w:p>
      <w:pPr>
        <w:pStyle w:val="BodyText"/>
        <w:spacing w:line="276" w:lineRule="auto"/>
        <w:ind w:left="106" w:right="224" w:firstLine="226"/>
      </w:pPr>
      <w:r>
        <w:rPr>
          <w:color w:val="231F20"/>
        </w:rPr>
        <w:t>The audit report is signed jointly by two KPMG partners on behalf of KPMG. Mr Scott Cormack replaced Mr Mark Ballaiche in his capacity as lead auditor for the year ending </w:t>
      </w:r>
      <w:r>
        <w:rPr>
          <w:color w:val="231F20"/>
          <w:spacing w:val="-3"/>
        </w:rPr>
        <w:t>31 </w:t>
      </w:r>
      <w:r>
        <w:rPr>
          <w:color w:val="231F20"/>
        </w:rPr>
        <w:t>December </w:t>
      </w:r>
      <w:r>
        <w:rPr>
          <w:color w:val="231F20"/>
          <w:spacing w:val="-4"/>
        </w:rPr>
        <w:t>2013 </w:t>
      </w:r>
      <w:r>
        <w:rPr>
          <w:color w:val="231F20"/>
        </w:rPr>
        <w:t>and signed the Financial Statements of Nestlé S.A. and the Consolidated Financial Statements of the Nestlé</w:t>
      </w:r>
      <w:r>
        <w:rPr>
          <w:color w:val="231F20"/>
          <w:spacing w:val="-6"/>
        </w:rPr>
        <w:t> </w:t>
      </w:r>
      <w:r>
        <w:rPr>
          <w:color w:val="231F20"/>
        </w:rPr>
        <w:t>Group.</w:t>
      </w:r>
    </w:p>
    <w:p>
      <w:pPr>
        <w:pStyle w:val="BodyText"/>
        <w:spacing w:before="2"/>
        <w:rPr>
          <w:sz w:val="20"/>
        </w:rPr>
      </w:pPr>
    </w:p>
    <w:p>
      <w:pPr>
        <w:pStyle w:val="Heading3"/>
        <w:numPr>
          <w:ilvl w:val="1"/>
          <w:numId w:val="2"/>
        </w:numPr>
        <w:tabs>
          <w:tab w:pos="561" w:val="left" w:leader="none"/>
        </w:tabs>
        <w:spacing w:line="240" w:lineRule="auto" w:before="0" w:after="0"/>
        <w:ind w:left="560" w:right="0" w:hanging="454"/>
        <w:jc w:val="left"/>
      </w:pPr>
      <w:r>
        <w:rPr>
          <w:color w:val="586670"/>
          <w:w w:val="110"/>
        </w:rPr>
        <w:t>Auditing</w:t>
      </w:r>
      <w:r>
        <w:rPr>
          <w:color w:val="586670"/>
          <w:spacing w:val="-8"/>
          <w:w w:val="110"/>
        </w:rPr>
        <w:t> </w:t>
      </w:r>
      <w:r>
        <w:rPr>
          <w:color w:val="586670"/>
          <w:w w:val="110"/>
        </w:rPr>
        <w:t>fees</w:t>
      </w:r>
    </w:p>
    <w:p>
      <w:pPr>
        <w:pStyle w:val="BodyText"/>
        <w:spacing w:line="276" w:lineRule="auto" w:before="31"/>
        <w:ind w:left="106" w:right="293"/>
      </w:pPr>
      <w:r>
        <w:rPr>
          <w:color w:val="231F20"/>
        </w:rPr>
        <w:t>The total of the auditing fees paid to the auditors for 2013 amounts to CHF 39 million, of which KPMG, in their capacity as Group auditors, received CHF 37 million.</w:t>
      </w:r>
    </w:p>
    <w:p>
      <w:pPr>
        <w:pStyle w:val="BodyText"/>
        <w:spacing w:before="7"/>
        <w:rPr>
          <w:sz w:val="20"/>
        </w:rPr>
      </w:pPr>
    </w:p>
    <w:p>
      <w:pPr>
        <w:pStyle w:val="Heading3"/>
        <w:numPr>
          <w:ilvl w:val="1"/>
          <w:numId w:val="2"/>
        </w:numPr>
        <w:tabs>
          <w:tab w:pos="561" w:val="left" w:leader="none"/>
        </w:tabs>
        <w:spacing w:line="240" w:lineRule="auto" w:before="0" w:after="0"/>
        <w:ind w:left="560" w:right="0" w:hanging="454"/>
        <w:jc w:val="left"/>
      </w:pPr>
      <w:r>
        <w:rPr>
          <w:color w:val="586670"/>
          <w:w w:val="110"/>
        </w:rPr>
        <w:t>Additional</w:t>
      </w:r>
      <w:r>
        <w:rPr>
          <w:color w:val="586670"/>
          <w:spacing w:val="-8"/>
          <w:w w:val="110"/>
        </w:rPr>
        <w:t> </w:t>
      </w:r>
      <w:r>
        <w:rPr>
          <w:color w:val="586670"/>
          <w:w w:val="110"/>
        </w:rPr>
        <w:t>fees</w:t>
      </w:r>
    </w:p>
    <w:p>
      <w:pPr>
        <w:pStyle w:val="BodyText"/>
        <w:spacing w:line="276" w:lineRule="auto" w:before="31"/>
        <w:ind w:left="106" w:right="91"/>
      </w:pPr>
      <w:r>
        <w:rPr>
          <w:color w:val="231F20"/>
        </w:rPr>
        <w:t>Fees paid to the auditors for 2013 related to additional services amount to CHF 9 million, of which KPMG received CHF 1.8 million for tax services and CHF 1.1 million for other </w:t>
      </w:r>
      <w:r>
        <w:rPr>
          <w:color w:val="231F20"/>
          <w:w w:val="104"/>
        </w:rPr>
        <w:t>va</w:t>
      </w:r>
      <w:r>
        <w:rPr>
          <w:color w:val="231F20"/>
          <w:w w:val="90"/>
        </w:rPr>
        <w:t>r</w:t>
      </w:r>
      <w:r>
        <w:rPr>
          <w:color w:val="231F20"/>
          <w:w w:val="83"/>
        </w:rPr>
        <w:t>i</w:t>
      </w:r>
      <w:r>
        <w:rPr>
          <w:color w:val="231F20"/>
          <w:w w:val="109"/>
        </w:rPr>
        <w:t>o</w:t>
      </w:r>
      <w:r>
        <w:rPr>
          <w:color w:val="231F20"/>
          <w:w w:val="108"/>
        </w:rPr>
        <w:t>u</w:t>
      </w:r>
      <w:r>
        <w:rPr>
          <w:color w:val="231F20"/>
          <w:w w:val="121"/>
        </w:rPr>
        <w:t>s</w:t>
      </w:r>
      <w:r>
        <w:rPr>
          <w:color w:val="231F20"/>
        </w:rPr>
        <w:t> </w:t>
      </w:r>
      <w:r>
        <w:rPr>
          <w:color w:val="231F20"/>
          <w:w w:val="108"/>
        </w:rPr>
        <w:t>n</w:t>
      </w:r>
      <w:r>
        <w:rPr>
          <w:color w:val="231F20"/>
          <w:w w:val="109"/>
        </w:rPr>
        <w:t>o</w:t>
      </w:r>
      <w:r>
        <w:rPr>
          <w:color w:val="231F20"/>
          <w:w w:val="108"/>
        </w:rPr>
        <w:t>n</w:t>
      </w:r>
      <w:r>
        <w:rPr>
          <w:color w:val="231F20"/>
          <w:w w:val="92"/>
        </w:rPr>
        <w:t>-</w:t>
      </w:r>
      <w:r>
        <w:rPr>
          <w:color w:val="231F20"/>
          <w:w w:val="101"/>
        </w:rPr>
        <w:t>a</w:t>
      </w:r>
      <w:r>
        <w:rPr>
          <w:color w:val="231F20"/>
          <w:w w:val="108"/>
        </w:rPr>
        <w:t>u</w:t>
      </w:r>
      <w:r>
        <w:rPr>
          <w:color w:val="231F20"/>
          <w:w w:val="107"/>
        </w:rPr>
        <w:t>d</w:t>
      </w:r>
      <w:r>
        <w:rPr>
          <w:color w:val="231F20"/>
          <w:w w:val="83"/>
        </w:rPr>
        <w:t>it</w:t>
      </w:r>
      <w:r>
        <w:rPr>
          <w:color w:val="231F20"/>
        </w:rPr>
        <w:t> </w:t>
      </w:r>
      <w:r>
        <w:rPr>
          <w:color w:val="231F20"/>
          <w:w w:val="121"/>
        </w:rPr>
        <w:t>s</w:t>
      </w:r>
      <w:r>
        <w:rPr>
          <w:color w:val="231F20"/>
          <w:w w:val="100"/>
        </w:rPr>
        <w:t>e</w:t>
      </w:r>
      <w:r>
        <w:rPr>
          <w:color w:val="231F20"/>
          <w:w w:val="90"/>
        </w:rPr>
        <w:t>r</w:t>
      </w:r>
      <w:r>
        <w:rPr>
          <w:color w:val="231F20"/>
          <w:w w:val="107"/>
        </w:rPr>
        <w:t>v</w:t>
      </w:r>
      <w:r>
        <w:rPr>
          <w:color w:val="231F20"/>
          <w:w w:val="83"/>
        </w:rPr>
        <w:t>i</w:t>
      </w:r>
      <w:r>
        <w:rPr>
          <w:color w:val="231F20"/>
          <w:w w:val="108"/>
        </w:rPr>
        <w:t>c</w:t>
      </w:r>
      <w:r>
        <w:rPr>
          <w:color w:val="231F20"/>
          <w:w w:val="100"/>
        </w:rPr>
        <w:t>e</w:t>
      </w:r>
      <w:r>
        <w:rPr>
          <w:color w:val="231F20"/>
          <w:w w:val="121"/>
        </w:rPr>
        <w:t>s</w:t>
      </w:r>
      <w:r>
        <w:rPr>
          <w:color w:val="231F20"/>
        </w:rPr>
        <w:t> </w:t>
      </w:r>
      <w:r>
        <w:rPr>
          <w:color w:val="231F20"/>
          <w:w w:val="81"/>
        </w:rPr>
        <w:t>(</w:t>
      </w:r>
      <w:r>
        <w:rPr>
          <w:color w:val="231F20"/>
          <w:w w:val="110"/>
        </w:rPr>
        <w:t>m</w:t>
      </w:r>
      <w:r>
        <w:rPr>
          <w:color w:val="231F20"/>
          <w:w w:val="101"/>
        </w:rPr>
        <w:t>a</w:t>
      </w:r>
      <w:r>
        <w:rPr>
          <w:color w:val="231F20"/>
          <w:w w:val="94"/>
        </w:rPr>
        <w:t>inl</w:t>
      </w:r>
      <w:r>
        <w:rPr>
          <w:color w:val="231F20"/>
          <w:w w:val="105"/>
        </w:rPr>
        <w:t>y</w:t>
      </w:r>
      <w:r>
        <w:rPr>
          <w:color w:val="231F20"/>
        </w:rPr>
        <w:t> </w:t>
      </w:r>
      <w:r>
        <w:rPr>
          <w:color w:val="231F20"/>
          <w:w w:val="101"/>
        </w:rPr>
        <w:t>I</w:t>
      </w:r>
      <w:r>
        <w:rPr>
          <w:color w:val="231F20"/>
          <w:w w:val="131"/>
        </w:rPr>
        <w:t>S</w:t>
      </w:r>
      <w:r>
        <w:rPr>
          <w:color w:val="231F20"/>
          <w:w w:val="57"/>
        </w:rPr>
        <w:t>/</w:t>
      </w:r>
      <w:r>
        <w:rPr>
          <w:color w:val="231F20"/>
          <w:w w:val="101"/>
        </w:rPr>
        <w:t>I</w:t>
      </w:r>
      <w:r>
        <w:rPr>
          <w:color w:val="231F20"/>
          <w:w w:val="96"/>
        </w:rPr>
        <w:t>T</w:t>
      </w:r>
      <w:r>
        <w:rPr>
          <w:color w:val="231F20"/>
        </w:rPr>
        <w:t> </w:t>
      </w:r>
      <w:r>
        <w:rPr>
          <w:color w:val="231F20"/>
          <w:w w:val="101"/>
        </w:rPr>
        <w:t>a</w:t>
      </w:r>
      <w:r>
        <w:rPr>
          <w:color w:val="231F20"/>
          <w:w w:val="107"/>
        </w:rPr>
        <w:t>d</w:t>
      </w:r>
      <w:r>
        <w:rPr>
          <w:color w:val="231F20"/>
          <w:w w:val="107"/>
        </w:rPr>
        <w:t>v</w:t>
      </w:r>
      <w:r>
        <w:rPr>
          <w:color w:val="231F20"/>
          <w:w w:val="83"/>
        </w:rPr>
        <w:t>i</w:t>
      </w:r>
      <w:r>
        <w:rPr>
          <w:color w:val="231F20"/>
          <w:w w:val="121"/>
        </w:rPr>
        <w:t>s</w:t>
      </w:r>
      <w:r>
        <w:rPr>
          <w:color w:val="231F20"/>
          <w:w w:val="109"/>
        </w:rPr>
        <w:t>o</w:t>
      </w:r>
      <w:r>
        <w:rPr>
          <w:color w:val="231F20"/>
          <w:w w:val="90"/>
        </w:rPr>
        <w:t>r</w:t>
      </w:r>
      <w:r>
        <w:rPr>
          <w:color w:val="231F20"/>
          <w:w w:val="105"/>
        </w:rPr>
        <w:t>y</w:t>
      </w:r>
      <w:r>
        <w:rPr>
          <w:color w:val="231F20"/>
        </w:rPr>
        <w:t> </w:t>
      </w:r>
      <w:r>
        <w:rPr>
          <w:color w:val="231F20"/>
          <w:w w:val="113"/>
        </w:rPr>
        <w:t>su</w:t>
      </w:r>
      <w:r>
        <w:rPr>
          <w:color w:val="231F20"/>
          <w:w w:val="107"/>
        </w:rPr>
        <w:t>pp</w:t>
      </w:r>
      <w:r>
        <w:rPr>
          <w:color w:val="231F20"/>
          <w:w w:val="109"/>
        </w:rPr>
        <w:t>o</w:t>
      </w:r>
      <w:r>
        <w:rPr>
          <w:color w:val="231F20"/>
          <w:w w:val="90"/>
        </w:rPr>
        <w:t>r</w:t>
      </w:r>
      <w:r>
        <w:rPr>
          <w:color w:val="231F20"/>
          <w:w w:val="82"/>
        </w:rPr>
        <w:t>t)</w:t>
      </w:r>
      <w:r>
        <w:rPr>
          <w:color w:val="231F20"/>
          <w:w w:val="78"/>
        </w:rPr>
        <w:t>.</w:t>
      </w:r>
    </w:p>
    <w:p>
      <w:pPr>
        <w:pStyle w:val="Heading3"/>
        <w:numPr>
          <w:ilvl w:val="1"/>
          <w:numId w:val="2"/>
        </w:numPr>
        <w:tabs>
          <w:tab w:pos="561" w:val="left" w:leader="none"/>
        </w:tabs>
        <w:spacing w:line="276" w:lineRule="auto" w:before="108" w:after="0"/>
        <w:ind w:left="560" w:right="1382" w:hanging="454"/>
        <w:jc w:val="left"/>
      </w:pPr>
      <w:r>
        <w:rPr>
          <w:color w:val="586670"/>
          <w:spacing w:val="-2"/>
          <w:w w:val="112"/>
        </w:rPr>
        <w:br w:type="column"/>
      </w:r>
      <w:r>
        <w:rPr>
          <w:color w:val="586670"/>
          <w:w w:val="105"/>
        </w:rPr>
        <w:t>Information instruments pertaining to the external</w:t>
      </w:r>
      <w:r>
        <w:rPr>
          <w:color w:val="586670"/>
          <w:spacing w:val="-9"/>
          <w:w w:val="105"/>
        </w:rPr>
        <w:t> </w:t>
      </w:r>
      <w:r>
        <w:rPr>
          <w:color w:val="586670"/>
          <w:w w:val="105"/>
        </w:rPr>
        <w:t>audit</w:t>
      </w:r>
    </w:p>
    <w:p>
      <w:pPr>
        <w:pStyle w:val="BodyText"/>
        <w:spacing w:line="276" w:lineRule="auto"/>
        <w:ind w:left="106" w:right="842"/>
      </w:pPr>
      <w:r>
        <w:rPr>
          <w:color w:val="231F20"/>
        </w:rPr>
        <w:t>KPMG presents to the Audit Committee a detailed report on the conduct of the Financial Statements audit, the findings on significant financial accounting and reporting issues together with the findings on the internal control system as well as an overview of issues found during the interim audit.</w:t>
      </w:r>
    </w:p>
    <w:p>
      <w:pPr>
        <w:pStyle w:val="BodyText"/>
        <w:spacing w:line="276" w:lineRule="auto"/>
        <w:ind w:left="106" w:right="590" w:firstLine="226"/>
      </w:pPr>
      <w:r>
        <w:rPr>
          <w:color w:val="231F20"/>
        </w:rPr>
        <w:t>In 2013, KPMG participated in all four Audit Committee meetings at the end of which they met with the Audit Committee without the Group’s management being present.</w:t>
      </w:r>
    </w:p>
    <w:p>
      <w:pPr>
        <w:pStyle w:val="BodyText"/>
        <w:spacing w:line="276" w:lineRule="auto"/>
        <w:ind w:left="106" w:right="590" w:firstLine="226"/>
      </w:pPr>
      <w:r>
        <w:rPr>
          <w:color w:val="231F20"/>
        </w:rPr>
        <w:t>Nestlé Group Audit (corporate internal auditors) met four times with the Audit Committee. In addition, the head of internal audit regularly met with the Chairman of the Audit Committee for interim updates.</w:t>
      </w:r>
    </w:p>
    <w:p>
      <w:pPr>
        <w:pStyle w:val="BodyText"/>
        <w:spacing w:line="276" w:lineRule="auto"/>
        <w:ind w:left="106" w:right="731" w:firstLine="226"/>
      </w:pPr>
      <w:r>
        <w:rPr>
          <w:color w:val="231F20"/>
        </w:rPr>
        <w:t>The Audit Committee reviews annually the appropriateness of retaining KPMG as the auditor of the Nestlé Group and Nestlé S.A., prior to proposing to the Board and to the Annual General Meeting of Nestlé S.A.   the election of KPMG as auditors. The Audit Committee assesses the effectiveness of the work of the auditors in accordance with Swiss </w:t>
      </w:r>
      <w:r>
        <w:rPr>
          <w:color w:val="231F20"/>
          <w:spacing w:val="-3"/>
        </w:rPr>
        <w:t>law,  </w:t>
      </w:r>
      <w:r>
        <w:rPr>
          <w:color w:val="231F20"/>
        </w:rPr>
        <w:t>based on their understanding  of the Group’s business, control, accounting and reporting issues,</w:t>
      </w:r>
      <w:r>
        <w:rPr>
          <w:color w:val="231F20"/>
          <w:spacing w:val="11"/>
        </w:rPr>
        <w:t> </w:t>
      </w:r>
      <w:r>
        <w:rPr>
          <w:color w:val="231F20"/>
        </w:rPr>
        <w:t>together</w:t>
      </w:r>
      <w:r>
        <w:rPr>
          <w:color w:val="231F20"/>
          <w:spacing w:val="11"/>
        </w:rPr>
        <w:t> </w:t>
      </w:r>
      <w:r>
        <w:rPr>
          <w:color w:val="231F20"/>
        </w:rPr>
        <w:t>with</w:t>
      </w:r>
      <w:r>
        <w:rPr>
          <w:color w:val="231F20"/>
          <w:spacing w:val="12"/>
        </w:rPr>
        <w:t> </w:t>
      </w:r>
      <w:r>
        <w:rPr>
          <w:color w:val="231F20"/>
        </w:rPr>
        <w:t>the</w:t>
      </w:r>
      <w:r>
        <w:rPr>
          <w:color w:val="231F20"/>
          <w:spacing w:val="11"/>
        </w:rPr>
        <w:t> </w:t>
      </w:r>
      <w:r>
        <w:rPr>
          <w:color w:val="231F20"/>
        </w:rPr>
        <w:t>way</w:t>
      </w:r>
      <w:r>
        <w:rPr>
          <w:color w:val="231F20"/>
          <w:spacing w:val="12"/>
        </w:rPr>
        <w:t> </w:t>
      </w:r>
      <w:r>
        <w:rPr>
          <w:color w:val="231F20"/>
        </w:rPr>
        <w:t>in</w:t>
      </w:r>
      <w:r>
        <w:rPr>
          <w:color w:val="231F20"/>
          <w:spacing w:val="11"/>
        </w:rPr>
        <w:t> </w:t>
      </w:r>
      <w:r>
        <w:rPr>
          <w:color w:val="231F20"/>
        </w:rPr>
        <w:t>which</w:t>
      </w:r>
      <w:r>
        <w:rPr>
          <w:color w:val="231F20"/>
          <w:spacing w:val="12"/>
        </w:rPr>
        <w:t> </w:t>
      </w:r>
      <w:r>
        <w:rPr>
          <w:color w:val="231F20"/>
        </w:rPr>
        <w:t>matters</w:t>
      </w:r>
      <w:r>
        <w:rPr>
          <w:color w:val="231F20"/>
          <w:spacing w:val="11"/>
        </w:rPr>
        <w:t> </w:t>
      </w:r>
      <w:r>
        <w:rPr>
          <w:color w:val="231F20"/>
        </w:rPr>
        <w:t>significant</w:t>
      </w:r>
    </w:p>
    <w:p>
      <w:pPr>
        <w:pStyle w:val="BodyText"/>
        <w:spacing w:line="276" w:lineRule="auto"/>
        <w:ind w:left="106"/>
      </w:pPr>
      <w:r>
        <w:rPr>
          <w:color w:val="231F20"/>
        </w:rPr>
        <w:t>at Group level or in the statutory accounts are identified and resolved.</w:t>
      </w:r>
    </w:p>
    <w:p>
      <w:pPr>
        <w:pStyle w:val="BodyText"/>
        <w:spacing w:line="276" w:lineRule="auto"/>
        <w:ind w:left="106" w:right="785" w:firstLine="226"/>
      </w:pPr>
      <w:r>
        <w:rPr>
          <w:color w:val="231F20"/>
        </w:rPr>
        <w:t>The Audit Committee is also informed on the work of KPMG through regular briefings of its Chairman. The lead auditor is rotated every seven years in accordance with Swiss law. Audit fees are ultimately approved by the Audit Committee.</w:t>
      </w:r>
    </w:p>
    <w:p>
      <w:pPr>
        <w:pStyle w:val="BodyText"/>
        <w:spacing w:line="276" w:lineRule="auto"/>
        <w:ind w:left="106" w:right="644" w:firstLine="226"/>
      </w:pPr>
      <w:r>
        <w:rPr>
          <w:color w:val="231F20"/>
          <w:w w:val="105"/>
        </w:rPr>
        <w:t>The Group and KPMG have agreed on clear guidelines as to audit services which it is appropriate for KPMG to provide. These services include due diligence on mergers, acquisitions and disposals and </w:t>
      </w:r>
      <w:r>
        <w:rPr>
          <w:color w:val="231F20"/>
          <w:spacing w:val="2"/>
          <w:w w:val="105"/>
        </w:rPr>
        <w:t>tax </w:t>
      </w:r>
      <w:r>
        <w:rPr>
          <w:color w:val="231F20"/>
          <w:w w:val="105"/>
        </w:rPr>
        <w:t>and business risk </w:t>
      </w:r>
      <w:r>
        <w:rPr>
          <w:color w:val="231F20"/>
          <w:w w:val="109"/>
        </w:rPr>
        <w:t>a</w:t>
      </w:r>
      <w:r>
        <w:rPr>
          <w:color w:val="231F20"/>
          <w:spacing w:val="1"/>
          <w:w w:val="109"/>
        </w:rPr>
        <w:t>s</w:t>
      </w:r>
      <w:r>
        <w:rPr>
          <w:color w:val="231F20"/>
          <w:w w:val="113"/>
        </w:rPr>
        <w:t>su</w:t>
      </w:r>
      <w:r>
        <w:rPr>
          <w:color w:val="231F20"/>
          <w:spacing w:val="2"/>
          <w:w w:val="90"/>
        </w:rPr>
        <w:t>r</w:t>
      </w:r>
      <w:r>
        <w:rPr>
          <w:color w:val="231F20"/>
          <w:spacing w:val="-1"/>
          <w:w w:val="101"/>
        </w:rPr>
        <w:t>a</w:t>
      </w:r>
      <w:r>
        <w:rPr>
          <w:color w:val="231F20"/>
          <w:spacing w:val="1"/>
          <w:w w:val="108"/>
        </w:rPr>
        <w:t>n</w:t>
      </w:r>
      <w:r>
        <w:rPr>
          <w:color w:val="231F20"/>
          <w:spacing w:val="2"/>
          <w:w w:val="108"/>
        </w:rPr>
        <w:t>c</w:t>
      </w:r>
      <w:r>
        <w:rPr>
          <w:color w:val="231F20"/>
          <w:w w:val="100"/>
        </w:rPr>
        <w:t>e</w:t>
      </w:r>
      <w:r>
        <w:rPr>
          <w:color w:val="231F20"/>
          <w:spacing w:val="-3"/>
        </w:rPr>
        <w:t> </w:t>
      </w:r>
      <w:r>
        <w:rPr>
          <w:color w:val="231F20"/>
          <w:spacing w:val="-1"/>
          <w:w w:val="101"/>
        </w:rPr>
        <w:t>a</w:t>
      </w:r>
      <w:r>
        <w:rPr>
          <w:color w:val="231F20"/>
          <w:spacing w:val="1"/>
          <w:w w:val="108"/>
        </w:rPr>
        <w:t>n</w:t>
      </w:r>
      <w:r>
        <w:rPr>
          <w:color w:val="231F20"/>
          <w:w w:val="107"/>
        </w:rPr>
        <w:t>d</w:t>
      </w:r>
      <w:r>
        <w:rPr>
          <w:color w:val="231F20"/>
          <w:spacing w:val="-3"/>
        </w:rPr>
        <w:t> </w:t>
      </w:r>
      <w:r>
        <w:rPr>
          <w:color w:val="231F20"/>
          <w:spacing w:val="-2"/>
          <w:w w:val="101"/>
        </w:rPr>
        <w:t>I</w:t>
      </w:r>
      <w:r>
        <w:rPr>
          <w:color w:val="231F20"/>
          <w:spacing w:val="2"/>
          <w:w w:val="131"/>
        </w:rPr>
        <w:t>S</w:t>
      </w:r>
      <w:r>
        <w:rPr>
          <w:color w:val="231F20"/>
          <w:spacing w:val="2"/>
          <w:w w:val="57"/>
        </w:rPr>
        <w:t>/</w:t>
      </w:r>
      <w:r>
        <w:rPr>
          <w:color w:val="231F20"/>
          <w:spacing w:val="1"/>
          <w:w w:val="101"/>
        </w:rPr>
        <w:t>I</w:t>
      </w:r>
      <w:r>
        <w:rPr>
          <w:color w:val="231F20"/>
          <w:w w:val="96"/>
        </w:rPr>
        <w:t>T</w:t>
      </w:r>
      <w:r>
        <w:rPr>
          <w:color w:val="231F20"/>
          <w:spacing w:val="-3"/>
        </w:rPr>
        <w:t> </w:t>
      </w:r>
      <w:r>
        <w:rPr>
          <w:color w:val="231F20"/>
          <w:w w:val="101"/>
        </w:rPr>
        <w:t>a</w:t>
      </w:r>
      <w:r>
        <w:rPr>
          <w:color w:val="231F20"/>
          <w:spacing w:val="1"/>
          <w:w w:val="107"/>
        </w:rPr>
        <w:t>d</w:t>
      </w:r>
      <w:r>
        <w:rPr>
          <w:color w:val="231F20"/>
          <w:spacing w:val="1"/>
          <w:w w:val="107"/>
        </w:rPr>
        <w:t>v</w:t>
      </w:r>
      <w:r>
        <w:rPr>
          <w:color w:val="231F20"/>
          <w:w w:val="83"/>
        </w:rPr>
        <w:t>i</w:t>
      </w:r>
      <w:r>
        <w:rPr>
          <w:color w:val="231F20"/>
          <w:spacing w:val="1"/>
          <w:w w:val="121"/>
        </w:rPr>
        <w:t>s</w:t>
      </w:r>
      <w:r>
        <w:rPr>
          <w:color w:val="231F20"/>
          <w:w w:val="109"/>
        </w:rPr>
        <w:t>o</w:t>
      </w:r>
      <w:r>
        <w:rPr>
          <w:color w:val="231F20"/>
          <w:spacing w:val="8"/>
          <w:w w:val="90"/>
        </w:rPr>
        <w:t>r</w:t>
      </w:r>
      <w:r>
        <w:rPr>
          <w:color w:val="231F20"/>
          <w:w w:val="105"/>
        </w:rPr>
        <w:t>y</w:t>
      </w:r>
      <w:r>
        <w:rPr>
          <w:color w:val="231F20"/>
          <w:spacing w:val="-3"/>
        </w:rPr>
        <w:t> </w:t>
      </w:r>
      <w:r>
        <w:rPr>
          <w:color w:val="231F20"/>
          <w:w w:val="113"/>
        </w:rPr>
        <w:t>su</w:t>
      </w:r>
      <w:r>
        <w:rPr>
          <w:color w:val="231F20"/>
          <w:spacing w:val="1"/>
          <w:w w:val="107"/>
        </w:rPr>
        <w:t>p</w:t>
      </w:r>
      <w:r>
        <w:rPr>
          <w:color w:val="231F20"/>
          <w:spacing w:val="2"/>
          <w:w w:val="107"/>
        </w:rPr>
        <w:t>p</w:t>
      </w:r>
      <w:r>
        <w:rPr>
          <w:color w:val="231F20"/>
          <w:w w:val="109"/>
        </w:rPr>
        <w:t>o</w:t>
      </w:r>
      <w:r>
        <w:rPr>
          <w:color w:val="231F20"/>
          <w:spacing w:val="8"/>
          <w:w w:val="90"/>
        </w:rPr>
        <w:t>r</w:t>
      </w:r>
      <w:r>
        <w:rPr>
          <w:color w:val="231F20"/>
          <w:w w:val="83"/>
        </w:rPr>
        <w:t>t</w:t>
      </w:r>
      <w:r>
        <w:rPr>
          <w:color w:val="231F20"/>
          <w:w w:val="78"/>
        </w:rPr>
        <w:t>.</w:t>
      </w:r>
      <w:r>
        <w:rPr>
          <w:color w:val="231F20"/>
          <w:spacing w:val="-3"/>
        </w:rPr>
        <w:t> </w:t>
      </w:r>
      <w:r>
        <w:rPr>
          <w:color w:val="231F20"/>
          <w:spacing w:val="3"/>
          <w:w w:val="96"/>
        </w:rPr>
        <w:t>T</w:t>
      </w:r>
      <w:r>
        <w:rPr>
          <w:color w:val="231F20"/>
          <w:spacing w:val="1"/>
          <w:w w:val="108"/>
        </w:rPr>
        <w:t>h</w:t>
      </w:r>
      <w:r>
        <w:rPr>
          <w:color w:val="231F20"/>
          <w:spacing w:val="1"/>
          <w:w w:val="100"/>
        </w:rPr>
        <w:t>e</w:t>
      </w:r>
      <w:r>
        <w:rPr>
          <w:color w:val="231F20"/>
          <w:spacing w:val="1"/>
          <w:w w:val="121"/>
        </w:rPr>
        <w:t>s</w:t>
      </w:r>
      <w:r>
        <w:rPr>
          <w:color w:val="231F20"/>
          <w:w w:val="100"/>
        </w:rPr>
        <w:t>e</w:t>
      </w:r>
      <w:r>
        <w:rPr>
          <w:color w:val="231F20"/>
          <w:spacing w:val="-3"/>
        </w:rPr>
        <w:t> </w:t>
      </w:r>
      <w:r>
        <w:rPr>
          <w:color w:val="231F20"/>
          <w:spacing w:val="-1"/>
          <w:w w:val="120"/>
        </w:rPr>
        <w:t>g</w:t>
      </w:r>
      <w:r>
        <w:rPr>
          <w:color w:val="231F20"/>
          <w:w w:val="108"/>
        </w:rPr>
        <w:t>u</w:t>
      </w:r>
      <w:r>
        <w:rPr>
          <w:color w:val="231F20"/>
          <w:w w:val="83"/>
        </w:rPr>
        <w:t>i</w:t>
      </w:r>
      <w:r>
        <w:rPr>
          <w:color w:val="231F20"/>
          <w:spacing w:val="1"/>
          <w:w w:val="107"/>
        </w:rPr>
        <w:t>d</w:t>
      </w:r>
      <w:r>
        <w:rPr>
          <w:color w:val="231F20"/>
          <w:spacing w:val="1"/>
          <w:w w:val="100"/>
        </w:rPr>
        <w:t>e</w:t>
      </w:r>
      <w:r>
        <w:rPr>
          <w:color w:val="231F20"/>
          <w:spacing w:val="-1"/>
          <w:w w:val="81"/>
        </w:rPr>
        <w:t>l</w:t>
      </w:r>
      <w:r>
        <w:rPr>
          <w:color w:val="231F20"/>
          <w:w w:val="99"/>
        </w:rPr>
        <w:t>i</w:t>
      </w:r>
      <w:r>
        <w:rPr>
          <w:color w:val="231F20"/>
          <w:spacing w:val="1"/>
          <w:w w:val="99"/>
        </w:rPr>
        <w:t>n</w:t>
      </w:r>
      <w:r>
        <w:rPr>
          <w:color w:val="231F20"/>
          <w:spacing w:val="1"/>
          <w:w w:val="100"/>
        </w:rPr>
        <w:t>e</w:t>
      </w:r>
      <w:r>
        <w:rPr>
          <w:color w:val="231F20"/>
          <w:w w:val="121"/>
        </w:rPr>
        <w:t>s </w:t>
      </w:r>
      <w:r>
        <w:rPr>
          <w:color w:val="231F20"/>
          <w:spacing w:val="1"/>
          <w:w w:val="100"/>
        </w:rPr>
        <w:t>e</w:t>
      </w:r>
      <w:r>
        <w:rPr>
          <w:color w:val="231F20"/>
          <w:w w:val="108"/>
        </w:rPr>
        <w:t>n</w:t>
      </w:r>
      <w:r>
        <w:rPr>
          <w:color w:val="231F20"/>
          <w:w w:val="113"/>
        </w:rPr>
        <w:t>su</w:t>
      </w:r>
      <w:r>
        <w:rPr>
          <w:color w:val="231F20"/>
          <w:w w:val="90"/>
        </w:rPr>
        <w:t>r</w:t>
      </w:r>
      <w:r>
        <w:rPr>
          <w:color w:val="231F20"/>
          <w:w w:val="100"/>
        </w:rPr>
        <w:t>e</w:t>
      </w:r>
      <w:r>
        <w:rPr>
          <w:color w:val="231F20"/>
          <w:spacing w:val="-3"/>
        </w:rPr>
        <w:t> </w:t>
      </w:r>
      <w:r>
        <w:rPr>
          <w:color w:val="231F20"/>
          <w:spacing w:val="2"/>
          <w:w w:val="110"/>
        </w:rPr>
        <w:t>K</w:t>
      </w:r>
      <w:r>
        <w:rPr>
          <w:color w:val="231F20"/>
          <w:spacing w:val="-1"/>
          <w:w w:val="110"/>
        </w:rPr>
        <w:t>P</w:t>
      </w:r>
      <w:r>
        <w:rPr>
          <w:color w:val="231F20"/>
          <w:w w:val="136"/>
        </w:rPr>
        <w:t>M</w:t>
      </w:r>
      <w:r>
        <w:rPr>
          <w:color w:val="231F20"/>
          <w:spacing w:val="-3"/>
          <w:w w:val="108"/>
        </w:rPr>
        <w:t>G</w:t>
      </w:r>
      <w:r>
        <w:rPr>
          <w:color w:val="231F20"/>
          <w:spacing w:val="-3"/>
          <w:w w:val="64"/>
        </w:rPr>
        <w:t>’</w:t>
      </w:r>
      <w:r>
        <w:rPr>
          <w:color w:val="231F20"/>
          <w:w w:val="121"/>
        </w:rPr>
        <w:t>s</w:t>
      </w:r>
      <w:r>
        <w:rPr>
          <w:color w:val="231F20"/>
          <w:spacing w:val="-3"/>
        </w:rPr>
        <w:t> </w:t>
      </w:r>
      <w:r>
        <w:rPr>
          <w:color w:val="231F20"/>
          <w:w w:val="99"/>
        </w:rPr>
        <w:t>i</w:t>
      </w:r>
      <w:r>
        <w:rPr>
          <w:color w:val="231F20"/>
          <w:spacing w:val="1"/>
          <w:w w:val="99"/>
        </w:rPr>
        <w:t>n</w:t>
      </w:r>
      <w:r>
        <w:rPr>
          <w:color w:val="231F20"/>
          <w:spacing w:val="1"/>
          <w:w w:val="107"/>
        </w:rPr>
        <w:t>d</w:t>
      </w:r>
      <w:r>
        <w:rPr>
          <w:color w:val="231F20"/>
          <w:spacing w:val="1"/>
          <w:w w:val="100"/>
        </w:rPr>
        <w:t>e</w:t>
      </w:r>
      <w:r>
        <w:rPr>
          <w:color w:val="231F20"/>
          <w:spacing w:val="2"/>
          <w:w w:val="107"/>
        </w:rPr>
        <w:t>p</w:t>
      </w:r>
      <w:r>
        <w:rPr>
          <w:color w:val="231F20"/>
          <w:spacing w:val="1"/>
          <w:w w:val="100"/>
        </w:rPr>
        <w:t>e</w:t>
      </w:r>
      <w:r>
        <w:rPr>
          <w:color w:val="231F20"/>
          <w:spacing w:val="1"/>
          <w:w w:val="108"/>
        </w:rPr>
        <w:t>n</w:t>
      </w:r>
      <w:r>
        <w:rPr>
          <w:color w:val="231F20"/>
          <w:spacing w:val="1"/>
          <w:w w:val="107"/>
        </w:rPr>
        <w:t>d</w:t>
      </w:r>
      <w:r>
        <w:rPr>
          <w:color w:val="231F20"/>
          <w:spacing w:val="1"/>
          <w:w w:val="100"/>
        </w:rPr>
        <w:t>e</w:t>
      </w:r>
      <w:r>
        <w:rPr>
          <w:color w:val="231F20"/>
          <w:spacing w:val="1"/>
          <w:w w:val="108"/>
        </w:rPr>
        <w:t>n</w:t>
      </w:r>
      <w:r>
        <w:rPr>
          <w:color w:val="231F20"/>
          <w:spacing w:val="2"/>
          <w:w w:val="108"/>
        </w:rPr>
        <w:t>c</w:t>
      </w:r>
      <w:r>
        <w:rPr>
          <w:color w:val="231F20"/>
          <w:w w:val="100"/>
        </w:rPr>
        <w:t>e</w:t>
      </w:r>
      <w:r>
        <w:rPr>
          <w:color w:val="231F20"/>
          <w:spacing w:val="-3"/>
        </w:rPr>
        <w:t> </w:t>
      </w:r>
      <w:r>
        <w:rPr>
          <w:color w:val="231F20"/>
          <w:w w:val="99"/>
        </w:rPr>
        <w:t>in</w:t>
      </w:r>
      <w:r>
        <w:rPr>
          <w:color w:val="231F20"/>
          <w:spacing w:val="-3"/>
        </w:rPr>
        <w:t> </w:t>
      </w:r>
      <w:r>
        <w:rPr>
          <w:color w:val="231F20"/>
          <w:w w:val="83"/>
        </w:rPr>
        <w:t>t</w:t>
      </w:r>
      <w:r>
        <w:rPr>
          <w:color w:val="231F20"/>
          <w:spacing w:val="1"/>
          <w:w w:val="108"/>
        </w:rPr>
        <w:t>h</w:t>
      </w:r>
      <w:r>
        <w:rPr>
          <w:color w:val="231F20"/>
          <w:spacing w:val="1"/>
          <w:w w:val="100"/>
        </w:rPr>
        <w:t>e</w:t>
      </w:r>
      <w:r>
        <w:rPr>
          <w:color w:val="231F20"/>
          <w:w w:val="87"/>
        </w:rPr>
        <w:t>ir</w:t>
      </w:r>
      <w:r>
        <w:rPr>
          <w:color w:val="231F20"/>
          <w:spacing w:val="-3"/>
        </w:rPr>
        <w:t> </w:t>
      </w:r>
      <w:r>
        <w:rPr>
          <w:color w:val="231F20"/>
          <w:spacing w:val="4"/>
          <w:w w:val="108"/>
        </w:rPr>
        <w:t>c</w:t>
      </w:r>
      <w:r>
        <w:rPr>
          <w:color w:val="231F20"/>
          <w:spacing w:val="-1"/>
          <w:w w:val="101"/>
        </w:rPr>
        <w:t>a</w:t>
      </w:r>
      <w:r>
        <w:rPr>
          <w:color w:val="231F20"/>
          <w:spacing w:val="3"/>
          <w:w w:val="107"/>
        </w:rPr>
        <w:t>p</w:t>
      </w:r>
      <w:r>
        <w:rPr>
          <w:color w:val="231F20"/>
          <w:w w:val="101"/>
        </w:rPr>
        <w:t>a</w:t>
      </w:r>
      <w:r>
        <w:rPr>
          <w:color w:val="231F20"/>
          <w:spacing w:val="2"/>
          <w:w w:val="108"/>
        </w:rPr>
        <w:t>c</w:t>
      </w:r>
      <w:r>
        <w:rPr>
          <w:color w:val="231F20"/>
          <w:spacing w:val="1"/>
          <w:w w:val="83"/>
        </w:rPr>
        <w:t>i</w:t>
      </w:r>
      <w:r>
        <w:rPr>
          <w:color w:val="231F20"/>
          <w:spacing w:val="6"/>
          <w:w w:val="83"/>
        </w:rPr>
        <w:t>t</w:t>
      </w:r>
      <w:r>
        <w:rPr>
          <w:color w:val="231F20"/>
          <w:w w:val="105"/>
        </w:rPr>
        <w:t>y</w:t>
      </w:r>
      <w:r>
        <w:rPr>
          <w:color w:val="231F20"/>
          <w:spacing w:val="-3"/>
        </w:rPr>
        <w:t> </w:t>
      </w:r>
      <w:r>
        <w:rPr>
          <w:color w:val="231F20"/>
          <w:w w:val="109"/>
        </w:rPr>
        <w:t>as</w:t>
      </w:r>
      <w:r>
        <w:rPr>
          <w:color w:val="231F20"/>
          <w:spacing w:val="-3"/>
        </w:rPr>
        <w:t> </w:t>
      </w:r>
      <w:r>
        <w:rPr>
          <w:color w:val="231F20"/>
          <w:spacing w:val="-1"/>
          <w:w w:val="101"/>
        </w:rPr>
        <w:t>a</w:t>
      </w:r>
      <w:r>
        <w:rPr>
          <w:color w:val="231F20"/>
          <w:spacing w:val="1"/>
          <w:w w:val="108"/>
        </w:rPr>
        <w:t>u</w:t>
      </w:r>
      <w:r>
        <w:rPr>
          <w:color w:val="231F20"/>
          <w:w w:val="107"/>
        </w:rPr>
        <w:t>d</w:t>
      </w:r>
      <w:r>
        <w:rPr>
          <w:color w:val="231F20"/>
          <w:spacing w:val="1"/>
          <w:w w:val="83"/>
        </w:rPr>
        <w:t>i</w:t>
      </w:r>
      <w:r>
        <w:rPr>
          <w:color w:val="231F20"/>
          <w:spacing w:val="-2"/>
          <w:w w:val="83"/>
        </w:rPr>
        <w:t>t</w:t>
      </w:r>
      <w:r>
        <w:rPr>
          <w:color w:val="231F20"/>
          <w:w w:val="109"/>
        </w:rPr>
        <w:t>o</w:t>
      </w:r>
      <w:r>
        <w:rPr>
          <w:color w:val="231F20"/>
          <w:spacing w:val="3"/>
          <w:w w:val="90"/>
        </w:rPr>
        <w:t>r</w:t>
      </w:r>
      <w:r>
        <w:rPr>
          <w:color w:val="231F20"/>
          <w:w w:val="121"/>
        </w:rPr>
        <w:t>s </w:t>
      </w:r>
      <w:r>
        <w:rPr>
          <w:color w:val="231F20"/>
          <w:w w:val="105"/>
        </w:rPr>
        <w:t>to</w:t>
      </w:r>
      <w:r>
        <w:rPr>
          <w:color w:val="231F20"/>
          <w:spacing w:val="-7"/>
          <w:w w:val="105"/>
        </w:rPr>
        <w:t> </w:t>
      </w:r>
      <w:r>
        <w:rPr>
          <w:color w:val="231F20"/>
          <w:w w:val="105"/>
        </w:rPr>
        <w:t>the</w:t>
      </w:r>
      <w:r>
        <w:rPr>
          <w:color w:val="231F20"/>
          <w:spacing w:val="-6"/>
          <w:w w:val="105"/>
        </w:rPr>
        <w:t> </w:t>
      </w:r>
      <w:r>
        <w:rPr>
          <w:color w:val="231F20"/>
          <w:w w:val="105"/>
        </w:rPr>
        <w:t>Group.</w:t>
      </w:r>
      <w:r>
        <w:rPr>
          <w:color w:val="231F20"/>
          <w:spacing w:val="-6"/>
          <w:w w:val="105"/>
        </w:rPr>
        <w:t> </w:t>
      </w:r>
      <w:r>
        <w:rPr>
          <w:color w:val="231F20"/>
          <w:w w:val="105"/>
        </w:rPr>
        <w:t>KPMG</w:t>
      </w:r>
      <w:r>
        <w:rPr>
          <w:color w:val="231F20"/>
          <w:spacing w:val="-6"/>
          <w:w w:val="105"/>
        </w:rPr>
        <w:t> </w:t>
      </w:r>
      <w:r>
        <w:rPr>
          <w:color w:val="231F20"/>
          <w:w w:val="105"/>
        </w:rPr>
        <w:t>monitors</w:t>
      </w:r>
      <w:r>
        <w:rPr>
          <w:color w:val="231F20"/>
          <w:spacing w:val="-6"/>
          <w:w w:val="105"/>
        </w:rPr>
        <w:t> </w:t>
      </w:r>
      <w:r>
        <w:rPr>
          <w:color w:val="231F20"/>
          <w:w w:val="105"/>
        </w:rPr>
        <w:t>its</w:t>
      </w:r>
      <w:r>
        <w:rPr>
          <w:color w:val="231F20"/>
          <w:spacing w:val="-6"/>
          <w:w w:val="105"/>
        </w:rPr>
        <w:t> </w:t>
      </w:r>
      <w:r>
        <w:rPr>
          <w:color w:val="231F20"/>
          <w:w w:val="105"/>
        </w:rPr>
        <w:t>independence</w:t>
      </w:r>
      <w:r>
        <w:rPr>
          <w:color w:val="231F20"/>
          <w:spacing w:val="-7"/>
          <w:w w:val="105"/>
        </w:rPr>
        <w:t> </w:t>
      </w:r>
      <w:r>
        <w:rPr>
          <w:color w:val="231F20"/>
          <w:w w:val="105"/>
        </w:rPr>
        <w:t>throughout the year and confirms its independence to the Audit Committee</w:t>
      </w:r>
      <w:r>
        <w:rPr>
          <w:color w:val="231F20"/>
          <w:spacing w:val="-7"/>
          <w:w w:val="105"/>
        </w:rPr>
        <w:t> </w:t>
      </w:r>
      <w:r>
        <w:rPr>
          <w:color w:val="231F20"/>
          <w:w w:val="105"/>
        </w:rPr>
        <w:t>annually.</w:t>
      </w:r>
    </w:p>
    <w:p>
      <w:pPr>
        <w:spacing w:after="0" w:line="276" w:lineRule="auto"/>
        <w:sectPr>
          <w:type w:val="continuous"/>
          <w:pgSz w:w="11910" w:h="14750"/>
          <w:pgMar w:top="540" w:bottom="280" w:left="460" w:right="460"/>
          <w:cols w:num="2" w:equalWidth="0">
            <w:col w:w="5193" w:space="79"/>
            <w:col w:w="5718"/>
          </w:cols>
        </w:sectPr>
      </w:pPr>
    </w:p>
    <w:p>
      <w:pPr>
        <w:pStyle w:val="BodyText"/>
        <w:rPr>
          <w:sz w:val="17"/>
        </w:rPr>
      </w:pPr>
    </w:p>
    <w:p>
      <w:pPr>
        <w:spacing w:after="0"/>
        <w:rPr>
          <w:sz w:val="17"/>
        </w:rPr>
        <w:sectPr>
          <w:pgSz w:w="11910" w:h="14750"/>
          <w:pgMar w:header="1050" w:footer="509" w:top="2960" w:bottom="700" w:left="460" w:right="460"/>
        </w:sectPr>
      </w:pPr>
    </w:p>
    <w:p>
      <w:pPr>
        <w:pStyle w:val="Heading3"/>
        <w:numPr>
          <w:ilvl w:val="0"/>
          <w:numId w:val="2"/>
        </w:numPr>
        <w:tabs>
          <w:tab w:pos="1014" w:val="left" w:leader="none"/>
          <w:tab w:pos="1015" w:val="left" w:leader="none"/>
        </w:tabs>
        <w:spacing w:line="240" w:lineRule="auto" w:before="108" w:after="0"/>
        <w:ind w:left="1014" w:right="0" w:hanging="454"/>
        <w:jc w:val="left"/>
      </w:pPr>
      <w:bookmarkStart w:name="Information policy" w:id="14"/>
      <w:bookmarkEnd w:id="14"/>
      <w:r>
        <w:rPr>
          <w:b w:val="0"/>
        </w:rPr>
      </w:r>
      <w:bookmarkStart w:name="Information policy" w:id="15"/>
      <w:bookmarkEnd w:id="15"/>
      <w:r>
        <w:rPr>
          <w:color w:val="231F20"/>
          <w:w w:val="110"/>
        </w:rPr>
        <w:t>I</w:t>
      </w:r>
      <w:r>
        <w:rPr>
          <w:color w:val="231F20"/>
          <w:w w:val="110"/>
        </w:rPr>
        <w:t>nformation</w:t>
      </w:r>
      <w:r>
        <w:rPr>
          <w:color w:val="231F20"/>
          <w:spacing w:val="-8"/>
          <w:w w:val="110"/>
        </w:rPr>
        <w:t> </w:t>
      </w:r>
      <w:r>
        <w:rPr>
          <w:color w:val="231F20"/>
          <w:w w:val="110"/>
        </w:rPr>
        <w:t>policy</w:t>
      </w:r>
    </w:p>
    <w:p>
      <w:pPr>
        <w:spacing w:before="31"/>
        <w:ind w:left="1014" w:right="0" w:firstLine="0"/>
        <w:jc w:val="left"/>
        <w:rPr>
          <w:b/>
          <w:sz w:val="18"/>
        </w:rPr>
      </w:pPr>
      <w:r>
        <w:rPr>
          <w:b/>
          <w:color w:val="586670"/>
          <w:w w:val="115"/>
          <w:sz w:val="18"/>
        </w:rPr>
        <w:t>Investor Relations – guiding principles</w:t>
      </w:r>
    </w:p>
    <w:p>
      <w:pPr>
        <w:pStyle w:val="BodyText"/>
        <w:spacing w:line="276" w:lineRule="auto" w:before="31"/>
        <w:ind w:left="560" w:right="33"/>
      </w:pPr>
      <w:r>
        <w:rPr>
          <w:color w:val="231F20"/>
        </w:rPr>
        <w:t>Nestlé is committed to managing an open and consistent communication policy with shareholders, potential investors and other interested parties. The objective is to ensure that the perception of those parties about the historical record, current performance and future prospects of Nestlé is in line with management’s understanding of the actual situation at Nestlé. The guiding principles of this policy are that Nestlé gives equal treatment to shareholders in equal situations, that any price-sensitive information is published in a timely fashion and that the information is provided in a format that is as full, simple, transparent and consistent as</w:t>
      </w:r>
      <w:r>
        <w:rPr>
          <w:color w:val="231F20"/>
          <w:spacing w:val="26"/>
        </w:rPr>
        <w:t> </w:t>
      </w:r>
      <w:r>
        <w:rPr>
          <w:color w:val="231F20"/>
        </w:rPr>
        <w:t>possible.</w:t>
      </w:r>
    </w:p>
    <w:p>
      <w:pPr>
        <w:pStyle w:val="BodyText"/>
        <w:spacing w:before="4"/>
        <w:rPr>
          <w:sz w:val="20"/>
        </w:rPr>
      </w:pPr>
    </w:p>
    <w:p>
      <w:pPr>
        <w:pStyle w:val="Heading3"/>
        <w:ind w:left="1014"/>
      </w:pPr>
      <w:r>
        <w:rPr>
          <w:color w:val="586670"/>
          <w:w w:val="115"/>
        </w:rPr>
        <w:t>Methodology</w:t>
      </w:r>
    </w:p>
    <w:p>
      <w:pPr>
        <w:pStyle w:val="BodyText"/>
        <w:spacing w:line="276" w:lineRule="auto" w:before="31"/>
        <w:ind w:left="560"/>
      </w:pPr>
      <w:r>
        <w:rPr>
          <w:color w:val="231F20"/>
        </w:rPr>
        <w:t>Nestlé produces each year a detailed Annual Report, which reviews the business. It also provides detailed audited Financial Statements for the year under review, prepared according to the International Financial Reporting Standards (IFRS). These are complemented by the Half-Yearly Report.</w:t>
      </w:r>
    </w:p>
    <w:p>
      <w:pPr>
        <w:pStyle w:val="BodyText"/>
        <w:spacing w:line="276" w:lineRule="auto"/>
        <w:ind w:left="560" w:right="7" w:firstLine="226"/>
      </w:pPr>
      <w:r>
        <w:rPr>
          <w:color w:val="231F20"/>
        </w:rPr>
        <w:t>Nestlé publishes its full-year and half-year results, and its first-quarter and nine-months’ sales figures; it also publishes press releases at the time of any potentially price-sensitive event, such as significant acquisitions and divestments, joint </w:t>
      </w:r>
      <w:r>
        <w:rPr>
          <w:color w:val="231F20"/>
          <w:w w:val="107"/>
        </w:rPr>
        <w:t>v</w:t>
      </w:r>
      <w:r>
        <w:rPr>
          <w:color w:val="231F20"/>
          <w:w w:val="100"/>
        </w:rPr>
        <w:t>e</w:t>
      </w:r>
      <w:r>
        <w:rPr>
          <w:color w:val="231F20"/>
          <w:w w:val="108"/>
        </w:rPr>
        <w:t>n</w:t>
      </w:r>
      <w:r>
        <w:rPr>
          <w:color w:val="231F20"/>
          <w:w w:val="83"/>
        </w:rPr>
        <w:t>t</w:t>
      </w:r>
      <w:r>
        <w:rPr>
          <w:color w:val="231F20"/>
          <w:w w:val="108"/>
        </w:rPr>
        <w:t>u</w:t>
      </w:r>
      <w:r>
        <w:rPr>
          <w:color w:val="231F20"/>
          <w:w w:val="90"/>
        </w:rPr>
        <w:t>r</w:t>
      </w:r>
      <w:r>
        <w:rPr>
          <w:color w:val="231F20"/>
          <w:w w:val="100"/>
        </w:rPr>
        <w:t>e</w:t>
      </w:r>
      <w:r>
        <w:rPr>
          <w:color w:val="231F20"/>
        </w:rPr>
        <w:t> </w:t>
      </w:r>
      <w:r>
        <w:rPr>
          <w:color w:val="231F20"/>
          <w:w w:val="101"/>
        </w:rPr>
        <w:t>a</w:t>
      </w:r>
      <w:r>
        <w:rPr>
          <w:color w:val="231F20"/>
          <w:w w:val="107"/>
        </w:rPr>
        <w:t>gr</w:t>
      </w:r>
      <w:r>
        <w:rPr>
          <w:color w:val="231F20"/>
          <w:w w:val="100"/>
        </w:rPr>
        <w:t>ee</w:t>
      </w:r>
      <w:r>
        <w:rPr>
          <w:color w:val="231F20"/>
          <w:w w:val="110"/>
        </w:rPr>
        <w:t>m</w:t>
      </w:r>
      <w:r>
        <w:rPr>
          <w:color w:val="231F20"/>
          <w:w w:val="100"/>
        </w:rPr>
        <w:t>e</w:t>
      </w:r>
      <w:r>
        <w:rPr>
          <w:color w:val="231F20"/>
          <w:w w:val="108"/>
        </w:rPr>
        <w:t>n</w:t>
      </w:r>
      <w:r>
        <w:rPr>
          <w:color w:val="231F20"/>
          <w:w w:val="83"/>
        </w:rPr>
        <w:t>t</w:t>
      </w:r>
      <w:r>
        <w:rPr>
          <w:color w:val="231F20"/>
          <w:w w:val="121"/>
        </w:rPr>
        <w:t>s</w:t>
      </w:r>
      <w:r>
        <w:rPr>
          <w:color w:val="231F20"/>
        </w:rPr>
        <w:t> </w:t>
      </w:r>
      <w:r>
        <w:rPr>
          <w:color w:val="231F20"/>
          <w:w w:val="101"/>
        </w:rPr>
        <w:t>a</w:t>
      </w:r>
      <w:r>
        <w:rPr>
          <w:color w:val="231F20"/>
          <w:w w:val="108"/>
        </w:rPr>
        <w:t>n</w:t>
      </w:r>
      <w:r>
        <w:rPr>
          <w:color w:val="231F20"/>
          <w:w w:val="107"/>
        </w:rPr>
        <w:t>d</w:t>
      </w:r>
      <w:r>
        <w:rPr>
          <w:color w:val="231F20"/>
        </w:rPr>
        <w:t> </w:t>
      </w:r>
      <w:r>
        <w:rPr>
          <w:color w:val="231F20"/>
          <w:w w:val="93"/>
        </w:rPr>
        <w:t>al</w:t>
      </w:r>
      <w:r>
        <w:rPr>
          <w:color w:val="231F20"/>
          <w:w w:val="81"/>
        </w:rPr>
        <w:t>l</w:t>
      </w:r>
      <w:r>
        <w:rPr>
          <w:color w:val="231F20"/>
          <w:w w:val="83"/>
        </w:rPr>
        <w:t>i</w:t>
      </w:r>
      <w:r>
        <w:rPr>
          <w:color w:val="231F20"/>
          <w:w w:val="101"/>
        </w:rPr>
        <w:t>a</w:t>
      </w:r>
      <w:r>
        <w:rPr>
          <w:color w:val="231F20"/>
          <w:w w:val="108"/>
        </w:rPr>
        <w:t>nc</w:t>
      </w:r>
      <w:r>
        <w:rPr>
          <w:color w:val="231F20"/>
          <w:w w:val="100"/>
        </w:rPr>
        <w:t>e</w:t>
      </w:r>
      <w:r>
        <w:rPr>
          <w:color w:val="231F20"/>
          <w:w w:val="121"/>
        </w:rPr>
        <w:t>s</w:t>
      </w:r>
      <w:r>
        <w:rPr>
          <w:color w:val="231F20"/>
          <w:w w:val="78"/>
        </w:rPr>
        <w:t>.</w:t>
      </w:r>
      <w:r>
        <w:rPr>
          <w:color w:val="231F20"/>
        </w:rPr>
        <w:t> </w:t>
      </w:r>
      <w:r>
        <w:rPr>
          <w:color w:val="231F20"/>
          <w:w w:val="136"/>
        </w:rPr>
        <w:t>M</w:t>
      </w:r>
      <w:r>
        <w:rPr>
          <w:color w:val="231F20"/>
          <w:w w:val="101"/>
        </w:rPr>
        <w:t>a</w:t>
      </w:r>
      <w:r>
        <w:rPr>
          <w:color w:val="231F20"/>
          <w:w w:val="65"/>
        </w:rPr>
        <w:t>j</w:t>
      </w:r>
      <w:r>
        <w:rPr>
          <w:color w:val="231F20"/>
          <w:w w:val="109"/>
        </w:rPr>
        <w:t>o</w:t>
      </w:r>
      <w:r>
        <w:rPr>
          <w:color w:val="231F20"/>
          <w:w w:val="90"/>
        </w:rPr>
        <w:t>r</w:t>
      </w:r>
      <w:r>
        <w:rPr>
          <w:color w:val="231F20"/>
        </w:rPr>
        <w:t> </w:t>
      </w:r>
      <w:r>
        <w:rPr>
          <w:color w:val="231F20"/>
          <w:w w:val="101"/>
        </w:rPr>
        <w:t>a</w:t>
      </w:r>
      <w:r>
        <w:rPr>
          <w:color w:val="231F20"/>
          <w:w w:val="108"/>
        </w:rPr>
        <w:t>nn</w:t>
      </w:r>
      <w:r>
        <w:rPr>
          <w:color w:val="231F20"/>
          <w:w w:val="109"/>
        </w:rPr>
        <w:t>o</w:t>
      </w:r>
      <w:r>
        <w:rPr>
          <w:color w:val="231F20"/>
          <w:w w:val="108"/>
        </w:rPr>
        <w:t>unc</w:t>
      </w:r>
      <w:r>
        <w:rPr>
          <w:color w:val="231F20"/>
          <w:w w:val="100"/>
        </w:rPr>
        <w:t>e</w:t>
      </w:r>
      <w:r>
        <w:rPr>
          <w:color w:val="231F20"/>
          <w:w w:val="110"/>
        </w:rPr>
        <w:t>m</w:t>
      </w:r>
      <w:r>
        <w:rPr>
          <w:color w:val="231F20"/>
          <w:w w:val="100"/>
        </w:rPr>
        <w:t>e</w:t>
      </w:r>
      <w:r>
        <w:rPr>
          <w:color w:val="231F20"/>
          <w:w w:val="108"/>
        </w:rPr>
        <w:t>n</w:t>
      </w:r>
      <w:r>
        <w:rPr>
          <w:color w:val="231F20"/>
          <w:w w:val="83"/>
        </w:rPr>
        <w:t>t</w:t>
      </w:r>
      <w:r>
        <w:rPr>
          <w:color w:val="231F20"/>
          <w:w w:val="121"/>
        </w:rPr>
        <w:t>s</w:t>
      </w:r>
      <w:r>
        <w:rPr>
          <w:color w:val="231F20"/>
          <w:w w:val="78"/>
        </w:rPr>
        <w:t>, </w:t>
      </w:r>
      <w:r>
        <w:rPr>
          <w:color w:val="231F20"/>
        </w:rPr>
        <w:t>such as results of corporate activity, are accompanied by</w:t>
      </w:r>
    </w:p>
    <w:p>
      <w:pPr>
        <w:pStyle w:val="BodyText"/>
        <w:spacing w:line="276" w:lineRule="auto"/>
        <w:ind w:left="560"/>
      </w:pPr>
      <w:r>
        <w:rPr>
          <w:color w:val="231F20"/>
        </w:rPr>
        <w:t>a presentation which is broadcast “live” on the Internet and which anyone can choose to access, whether or not that person is a shareholder.</w:t>
      </w:r>
    </w:p>
    <w:p>
      <w:pPr>
        <w:pStyle w:val="BodyText"/>
        <w:spacing w:line="276" w:lineRule="auto"/>
        <w:ind w:left="560" w:right="10" w:firstLine="226"/>
      </w:pPr>
      <w:r>
        <w:rPr>
          <w:color w:val="231F20"/>
        </w:rPr>
        <w:t>Furthermore, Nestlé has an active investor relations programme, including both group meetings and </w:t>
      </w:r>
      <w:r>
        <w:rPr>
          <w:color w:val="231F20"/>
          <w:spacing w:val="2"/>
        </w:rPr>
        <w:t>one-to-one </w:t>
      </w:r>
      <w:r>
        <w:rPr>
          <w:color w:val="231F20"/>
        </w:rPr>
        <w:t>meetings. This includes the  Annual  General  Meeting,  as well as presentations at the time of its full-year and half-year results. The Group also has a programme of roadshows,  which take place in most financial centres around the world, and hosts themed events for institutional investors and investment analysts at which members of line management give an overview of their particular areas of</w:t>
      </w:r>
      <w:r>
        <w:rPr>
          <w:color w:val="231F20"/>
          <w:spacing w:val="6"/>
        </w:rPr>
        <w:t> </w:t>
      </w:r>
      <w:r>
        <w:rPr>
          <w:color w:val="231F20"/>
        </w:rPr>
        <w:t>responsibility.</w:t>
      </w:r>
    </w:p>
    <w:p>
      <w:pPr>
        <w:pStyle w:val="BodyText"/>
        <w:spacing w:line="276" w:lineRule="auto"/>
        <w:ind w:left="560" w:right="26"/>
      </w:pPr>
      <w:r>
        <w:rPr>
          <w:color w:val="231F20"/>
        </w:rPr>
        <w:t>These meetings focus either  on  recently  announced financial results, recent corporate activity or the longer-term strategy of the Group; they are not an occasion for the disclosure of new information which might</w:t>
      </w:r>
      <w:r>
        <w:rPr>
          <w:color w:val="231F20"/>
          <w:spacing w:val="51"/>
        </w:rPr>
        <w:t> </w:t>
      </w:r>
      <w:r>
        <w:rPr>
          <w:color w:val="231F20"/>
        </w:rPr>
        <w:t>encourage</w:t>
      </w:r>
    </w:p>
    <w:p>
      <w:pPr>
        <w:pStyle w:val="BodyText"/>
        <w:spacing w:line="208" w:lineRule="exact"/>
        <w:ind w:left="560"/>
      </w:pPr>
      <w:r>
        <w:rPr>
          <w:color w:val="231F20"/>
        </w:rPr>
        <w:t>an investment decision.</w:t>
      </w:r>
    </w:p>
    <w:p>
      <w:pPr>
        <w:pStyle w:val="BodyText"/>
        <w:spacing w:line="276" w:lineRule="auto" w:before="108"/>
        <w:ind w:left="186" w:right="304" w:firstLine="226"/>
      </w:pPr>
      <w:r>
        <w:rPr/>
        <w:br w:type="column"/>
      </w:r>
      <w:r>
        <w:rPr>
          <w:color w:val="231F20"/>
        </w:rPr>
        <w:t>Specifically on governance topics, the Company engages into an active dialogue with investors through regular Chairman’s roundtables, surveys and bilateral exchanges which are reported to the Chairman’s and Corporate Governance Committee or the Board.</w:t>
      </w:r>
    </w:p>
    <w:p>
      <w:pPr>
        <w:pStyle w:val="BodyText"/>
        <w:spacing w:line="276" w:lineRule="auto"/>
        <w:ind w:left="186" w:right="304" w:firstLine="226"/>
      </w:pPr>
      <w:r>
        <w:rPr>
          <w:color w:val="231F20"/>
        </w:rPr>
        <w:t>The Company utilises the World Wide Web (www.nestle.com) to ensure a rapid and equitable distribution of information. Nestlé does not just rely on people visiting the site to be updated on the latest developments within the Group: anyone can  sign  up  on the site to be alerted automatically by Nestlé whenever there is a change to the Investor Relations Web site; also press releases are distributed to major wire and news services. There are links to non-financial information that may be of interest to investors, including areas such as the environment, sustainability, the Nestlé Corporate Business Principles and the Nestlé Human Resources</w:t>
      </w:r>
      <w:r>
        <w:rPr>
          <w:color w:val="231F20"/>
          <w:spacing w:val="36"/>
        </w:rPr>
        <w:t> </w:t>
      </w:r>
      <w:r>
        <w:rPr>
          <w:color w:val="231F20"/>
        </w:rPr>
        <w:t>Policy.</w:t>
      </w:r>
    </w:p>
    <w:p>
      <w:pPr>
        <w:pStyle w:val="BodyText"/>
        <w:spacing w:line="276" w:lineRule="auto"/>
        <w:ind w:left="186" w:right="399"/>
      </w:pPr>
      <w:r>
        <w:rPr>
          <w:color w:val="231F20"/>
        </w:rPr>
        <w:t>A Corporate calendar of relevant dates is displayed on page 200 of the Annual Report 2013 and available on the Corporate Web site (www.nestle.com).</w:t>
      </w:r>
    </w:p>
    <w:p>
      <w:pPr>
        <w:pStyle w:val="BodyText"/>
        <w:spacing w:line="276" w:lineRule="auto"/>
        <w:ind w:left="186" w:right="304" w:firstLine="226"/>
      </w:pPr>
      <w:r>
        <w:rPr>
          <w:color w:val="231F20"/>
        </w:rPr>
        <w:t>The Nestlé Investor Relations Department can be contacted, either through the Web site, or by telephone, fax, e-mail or letter.</w:t>
      </w:r>
    </w:p>
    <w:p>
      <w:pPr>
        <w:pStyle w:val="BodyText"/>
        <w:rPr>
          <w:sz w:val="20"/>
        </w:rPr>
      </w:pPr>
    </w:p>
    <w:p>
      <w:pPr>
        <w:pStyle w:val="Heading3"/>
        <w:ind w:left="186"/>
      </w:pPr>
      <w:r>
        <w:rPr>
          <w:color w:val="586670"/>
          <w:w w:val="110"/>
        </w:rPr>
        <w:t>Contact</w:t>
      </w:r>
    </w:p>
    <w:p>
      <w:pPr>
        <w:pStyle w:val="BodyText"/>
        <w:spacing w:before="31"/>
        <w:ind w:left="186"/>
      </w:pPr>
      <w:r>
        <w:rPr>
          <w:color w:val="231F20"/>
        </w:rPr>
        <w:t>Investor Relations</w:t>
      </w:r>
    </w:p>
    <w:p>
      <w:pPr>
        <w:pStyle w:val="BodyText"/>
        <w:spacing w:line="276" w:lineRule="auto" w:before="31"/>
        <w:ind w:left="186" w:right="2638"/>
      </w:pPr>
      <w:r>
        <w:rPr>
          <w:color w:val="231F20"/>
        </w:rPr>
        <w:t>Nestlé S.A., Avenue Nestlé 55 CH-1800 Vevey (Switzerland) </w:t>
      </w:r>
      <w:r>
        <w:rPr>
          <w:color w:val="231F20"/>
          <w:spacing w:val="-4"/>
        </w:rPr>
        <w:t>Tel. +41 </w:t>
      </w:r>
      <w:r>
        <w:rPr>
          <w:color w:val="231F20"/>
          <w:spacing w:val="-3"/>
        </w:rPr>
        <w:t>(0)21 </w:t>
      </w:r>
      <w:r>
        <w:rPr>
          <w:color w:val="231F20"/>
        </w:rPr>
        <w:t>924 35</w:t>
      </w:r>
      <w:r>
        <w:rPr>
          <w:color w:val="231F20"/>
          <w:spacing w:val="26"/>
        </w:rPr>
        <w:t> </w:t>
      </w:r>
      <w:r>
        <w:rPr>
          <w:color w:val="231F20"/>
        </w:rPr>
        <w:t>09</w:t>
      </w:r>
    </w:p>
    <w:p>
      <w:pPr>
        <w:pStyle w:val="BodyText"/>
        <w:spacing w:line="208" w:lineRule="exact"/>
        <w:ind w:left="186"/>
      </w:pPr>
      <w:r>
        <w:rPr>
          <w:color w:val="231F20"/>
          <w:w w:val="110"/>
        </w:rPr>
        <w:t>Fax</w:t>
      </w:r>
      <w:r>
        <w:rPr>
          <w:color w:val="231F20"/>
          <w:spacing w:val="-16"/>
          <w:w w:val="110"/>
        </w:rPr>
        <w:t> </w:t>
      </w:r>
      <w:r>
        <w:rPr>
          <w:color w:val="231F20"/>
          <w:spacing w:val="-4"/>
          <w:w w:val="110"/>
        </w:rPr>
        <w:t>+41</w:t>
      </w:r>
      <w:r>
        <w:rPr>
          <w:color w:val="231F20"/>
          <w:spacing w:val="-15"/>
          <w:w w:val="110"/>
        </w:rPr>
        <w:t> </w:t>
      </w:r>
      <w:r>
        <w:rPr>
          <w:color w:val="231F20"/>
          <w:spacing w:val="-3"/>
          <w:w w:val="110"/>
        </w:rPr>
        <w:t>(0)21</w:t>
      </w:r>
      <w:r>
        <w:rPr>
          <w:color w:val="231F20"/>
          <w:spacing w:val="-15"/>
          <w:w w:val="110"/>
        </w:rPr>
        <w:t> </w:t>
      </w:r>
      <w:r>
        <w:rPr>
          <w:color w:val="231F20"/>
          <w:w w:val="110"/>
        </w:rPr>
        <w:t>924</w:t>
      </w:r>
      <w:r>
        <w:rPr>
          <w:color w:val="231F20"/>
          <w:spacing w:val="-16"/>
          <w:w w:val="110"/>
        </w:rPr>
        <w:t> </w:t>
      </w:r>
      <w:r>
        <w:rPr>
          <w:color w:val="231F20"/>
          <w:w w:val="110"/>
        </w:rPr>
        <w:t>28</w:t>
      </w:r>
      <w:r>
        <w:rPr>
          <w:color w:val="231F20"/>
          <w:spacing w:val="-15"/>
          <w:w w:val="110"/>
        </w:rPr>
        <w:t> </w:t>
      </w:r>
      <w:r>
        <w:rPr>
          <w:color w:val="231F20"/>
          <w:spacing w:val="-5"/>
          <w:w w:val="110"/>
        </w:rPr>
        <w:t>13</w:t>
      </w:r>
    </w:p>
    <w:p>
      <w:pPr>
        <w:pStyle w:val="BodyText"/>
        <w:spacing w:before="31"/>
        <w:ind w:left="186"/>
      </w:pPr>
      <w:r>
        <w:rPr>
          <w:color w:val="231F20"/>
        </w:rPr>
        <w:t>E-mail: </w:t>
      </w:r>
      <w:hyperlink r:id="rId81">
        <w:r>
          <w:rPr>
            <w:color w:val="231F20"/>
          </w:rPr>
          <w:t>ir@nestle.com</w:t>
        </w:r>
      </w:hyperlink>
    </w:p>
    <w:p>
      <w:pPr>
        <w:spacing w:after="0"/>
        <w:sectPr>
          <w:type w:val="continuous"/>
          <w:pgSz w:w="11910" w:h="14750"/>
          <w:pgMar w:top="540" w:bottom="280" w:left="460" w:right="460"/>
          <w:cols w:num="2" w:equalWidth="0">
            <w:col w:w="5607" w:space="40"/>
            <w:col w:w="5343"/>
          </w:cols>
        </w:sectPr>
      </w:pPr>
    </w:p>
    <w:p>
      <w:pPr>
        <w:spacing w:line="247" w:lineRule="auto" w:before="106"/>
        <w:ind w:left="106" w:right="7" w:firstLine="0"/>
        <w:jc w:val="left"/>
        <w:rPr>
          <w:b/>
          <w:sz w:val="15"/>
        </w:rPr>
      </w:pPr>
      <w:r>
        <w:rPr/>
        <w:pict>
          <v:line style="position:absolute;mso-position-horizontal-relative:page;mso-position-vertical-relative:paragraph;z-index:3184" from="28.346201pt,.467247pt" to="544.252201pt,.467247pt" stroked="true" strokeweight=".25pt" strokecolor="#231f20">
            <v:stroke dashstyle="solid"/>
            <w10:wrap type="none"/>
          </v:line>
        </w:pict>
      </w:r>
      <w:bookmarkStart w:name="General Organisation of Nestlé S.A." w:id="16"/>
      <w:bookmarkEnd w:id="16"/>
      <w:r>
        <w:rPr/>
      </w:r>
      <w:r>
        <w:rPr>
          <w:b/>
          <w:color w:val="231F20"/>
          <w:w w:val="105"/>
          <w:sz w:val="15"/>
        </w:rPr>
        <w:t>General Organisation of Nestlé S.A. </w:t>
      </w:r>
      <w:r>
        <w:rPr>
          <w:b/>
          <w:color w:val="586670"/>
          <w:w w:val="105"/>
          <w:sz w:val="15"/>
        </w:rPr>
        <w:t>at 31 December 2013</w:t>
      </w:r>
    </w:p>
    <w:p>
      <w:pPr>
        <w:spacing w:before="106"/>
        <w:ind w:left="106" w:right="0" w:firstLine="0"/>
        <w:jc w:val="left"/>
        <w:rPr>
          <w:b/>
          <w:sz w:val="15"/>
        </w:rPr>
      </w:pPr>
      <w:r>
        <w:rPr/>
        <w:br w:type="column"/>
      </w:r>
      <w:r>
        <w:rPr>
          <w:b/>
          <w:color w:val="231F20"/>
          <w:w w:val="105"/>
          <w:sz w:val="15"/>
        </w:rPr>
        <w:t>Executive Board</w:t>
      </w:r>
    </w:p>
    <w:p>
      <w:pPr>
        <w:spacing w:line="247" w:lineRule="auto" w:before="5"/>
        <w:ind w:left="106" w:right="246" w:firstLine="0"/>
        <w:jc w:val="left"/>
        <w:rPr>
          <w:sz w:val="15"/>
        </w:rPr>
      </w:pPr>
      <w:r>
        <w:rPr>
          <w:color w:val="586670"/>
          <w:sz w:val="15"/>
        </w:rPr>
        <w:t>Paul Bulcke Luis Cantarell José Lopez Laurent Freixe Chris Johnson Patrice Bula</w:t>
      </w:r>
    </w:p>
    <w:p>
      <w:pPr>
        <w:spacing w:line="247" w:lineRule="auto" w:before="106"/>
        <w:ind w:left="106" w:right="1609" w:firstLine="0"/>
        <w:jc w:val="left"/>
        <w:rPr>
          <w:sz w:val="15"/>
        </w:rPr>
      </w:pPr>
      <w:r>
        <w:rPr/>
        <w:br w:type="column"/>
      </w:r>
      <w:r>
        <w:rPr>
          <w:color w:val="586670"/>
          <w:sz w:val="15"/>
        </w:rPr>
        <w:t>Nandu Nandkishore Wan Ling Martello Stefan Catsicas Marco Settembri Peter Vogt</w:t>
      </w:r>
    </w:p>
    <w:p>
      <w:pPr>
        <w:spacing w:line="247" w:lineRule="auto" w:before="3"/>
        <w:ind w:left="106" w:right="1609" w:firstLine="0"/>
        <w:jc w:val="left"/>
        <w:rPr>
          <w:sz w:val="15"/>
        </w:rPr>
      </w:pPr>
      <w:r>
        <w:rPr>
          <w:color w:val="586670"/>
          <w:sz w:val="15"/>
        </w:rPr>
        <w:t>Martial Rolland David P. Frick</w:t>
      </w:r>
    </w:p>
    <w:p>
      <w:pPr>
        <w:spacing w:after="0" w:line="247" w:lineRule="auto"/>
        <w:jc w:val="left"/>
        <w:rPr>
          <w:sz w:val="15"/>
        </w:rPr>
        <w:sectPr>
          <w:headerReference w:type="even" r:id="rId82"/>
          <w:footerReference w:type="even" r:id="rId83"/>
          <w:footerReference w:type="default" r:id="rId84"/>
          <w:pgSz w:w="11910" w:h="14750"/>
          <w:pgMar w:header="0" w:footer="509" w:top="560" w:bottom="700" w:left="460" w:right="460"/>
          <w:pgNumType w:start="34"/>
          <w:cols w:num="3" w:equalWidth="0">
            <w:col w:w="2837" w:space="2435"/>
            <w:col w:w="1371" w:space="1266"/>
            <w:col w:w="3081"/>
          </w:cols>
        </w:sectPr>
      </w:pPr>
    </w:p>
    <w:p>
      <w:pPr>
        <w:pStyle w:val="BodyText"/>
        <w:rPr>
          <w:sz w:val="20"/>
        </w:rPr>
      </w:pPr>
      <w:r>
        <w:rPr/>
        <w:pict>
          <v:shape style="position:absolute;margin-left:324.095001pt;margin-top:634.346985pt;width:100.2pt;height:27.2pt;mso-position-horizontal-relative:page;mso-position-vertical-relative:page;z-index:-115192" type="#_x0000_t202" filled="true" fillcolor="#e6e8e9" stroked="false">
            <v:textbox inset="0,0,0,0">
              <w:txbxContent>
                <w:p>
                  <w:pPr>
                    <w:pStyle w:val="BodyText"/>
                    <w:spacing w:before="2"/>
                    <w:rPr>
                      <w:sz w:val="16"/>
                    </w:rPr>
                  </w:pPr>
                </w:p>
                <w:p>
                  <w:pPr>
                    <w:spacing w:before="0"/>
                    <w:ind w:left="459" w:right="0" w:firstLine="0"/>
                    <w:jc w:val="left"/>
                    <w:rPr>
                      <w:b/>
                      <w:sz w:val="15"/>
                    </w:rPr>
                  </w:pPr>
                  <w:r>
                    <w:rPr>
                      <w:b/>
                      <w:color w:val="586670"/>
                      <w:w w:val="110"/>
                      <w:sz w:val="15"/>
                    </w:rPr>
                    <w:t>Chris Johnson</w:t>
                  </w:r>
                </w:p>
              </w:txbxContent>
            </v:textbox>
            <v:fill type="solid"/>
            <w10:wrap type="none"/>
          </v:shape>
        </w:pict>
      </w:r>
      <w:r>
        <w:rPr/>
        <w:pict>
          <v:shape style="position:absolute;margin-left:206.929001pt;margin-top:634.346985pt;width:100.2pt;height:27.2pt;mso-position-horizontal-relative:page;mso-position-vertical-relative:page;z-index:-115168" type="#_x0000_t202" filled="true" fillcolor="#e6e8e9" stroked="false">
            <v:textbox inset="0,0,0,0">
              <w:txbxContent>
                <w:p>
                  <w:pPr>
                    <w:pStyle w:val="BodyText"/>
                    <w:spacing w:before="2"/>
                    <w:rPr>
                      <w:sz w:val="16"/>
                    </w:rPr>
                  </w:pPr>
                </w:p>
                <w:p>
                  <w:pPr>
                    <w:spacing w:before="0"/>
                    <w:ind w:left="248" w:right="0" w:firstLine="0"/>
                    <w:jc w:val="left"/>
                    <w:rPr>
                      <w:b/>
                      <w:sz w:val="15"/>
                    </w:rPr>
                  </w:pPr>
                  <w:r>
                    <w:rPr>
                      <w:b/>
                      <w:color w:val="586670"/>
                      <w:w w:val="110"/>
                      <w:sz w:val="15"/>
                    </w:rPr>
                    <w:t>Nandu Nandkishore</w:t>
                  </w:r>
                </w:p>
              </w:txbxContent>
            </v:textbox>
            <v:fill type="solid"/>
            <w10:wrap type="none"/>
          </v:shape>
        </w:pict>
      </w:r>
      <w:r>
        <w:rPr/>
        <w:pict>
          <v:shape style="position:absolute;margin-left:89.764pt;margin-top:634.346985pt;width:100.2pt;height:27.2pt;mso-position-horizontal-relative:page;mso-position-vertical-relative:page;z-index:-115144" type="#_x0000_t202" filled="true" fillcolor="#e6e8e9" stroked="false">
            <v:textbox inset="0,0,0,0">
              <w:txbxContent>
                <w:p>
                  <w:pPr>
                    <w:pStyle w:val="BodyText"/>
                    <w:spacing w:before="2"/>
                    <w:rPr>
                      <w:sz w:val="16"/>
                    </w:rPr>
                  </w:pPr>
                </w:p>
                <w:p>
                  <w:pPr>
                    <w:spacing w:before="0"/>
                    <w:ind w:left="460" w:right="0" w:firstLine="0"/>
                    <w:jc w:val="left"/>
                    <w:rPr>
                      <w:b/>
                      <w:sz w:val="15"/>
                    </w:rPr>
                  </w:pPr>
                  <w:r>
                    <w:rPr>
                      <w:b/>
                      <w:color w:val="586670"/>
                      <w:sz w:val="15"/>
                    </w:rPr>
                    <w:t>Laurent Freixe</w:t>
                  </w:r>
                </w:p>
              </w:txbxContent>
            </v:textbox>
            <v:fill type="solid"/>
            <w10:wrap type="none"/>
          </v:shape>
        </w:pict>
      </w:r>
      <w:r>
        <w:rPr/>
        <w:pict>
          <v:shape style="position:absolute;margin-left:324.095001pt;margin-top:298.347992pt;width:100.2pt;height:27.2pt;mso-position-horizontal-relative:page;mso-position-vertical-relative:page;z-index:-115120" type="#_x0000_t202" filled="true" fillcolor="#e6e8e9" stroked="false">
            <v:textbox inset="0,0,0,0">
              <w:txbxContent>
                <w:p>
                  <w:pPr>
                    <w:pStyle w:val="BodyText"/>
                    <w:spacing w:before="2"/>
                    <w:rPr>
                      <w:sz w:val="16"/>
                    </w:rPr>
                  </w:pPr>
                </w:p>
                <w:p>
                  <w:pPr>
                    <w:spacing w:before="0"/>
                    <w:ind w:left="482" w:right="0" w:firstLine="0"/>
                    <w:jc w:val="left"/>
                    <w:rPr>
                      <w:b/>
                      <w:sz w:val="15"/>
                    </w:rPr>
                  </w:pPr>
                  <w:r>
                    <w:rPr>
                      <w:b/>
                      <w:color w:val="586670"/>
                      <w:w w:val="105"/>
                      <w:sz w:val="15"/>
                    </w:rPr>
                    <w:t>Luis Cantarell</w:t>
                  </w:r>
                </w:p>
              </w:txbxContent>
            </v:textbox>
            <v:fill type="solid"/>
            <w10:wrap type="none"/>
          </v:shape>
        </w:pict>
      </w:r>
      <w:r>
        <w:rPr/>
        <w:pict>
          <v:shape style="position:absolute;margin-left:206.929001pt;margin-top:298.347992pt;width:100.2pt;height:27.2pt;mso-position-horizontal-relative:page;mso-position-vertical-relative:page;z-index:-115096" type="#_x0000_t202" filled="true" fillcolor="#e6e8e9" stroked="false">
            <v:textbox inset="0,0,0,0">
              <w:txbxContent>
                <w:p>
                  <w:pPr>
                    <w:pStyle w:val="BodyText"/>
                    <w:spacing w:before="2"/>
                    <w:rPr>
                      <w:sz w:val="16"/>
                    </w:rPr>
                  </w:pPr>
                </w:p>
                <w:p>
                  <w:pPr>
                    <w:spacing w:before="0"/>
                    <w:ind w:left="560" w:right="0" w:firstLine="0"/>
                    <w:jc w:val="left"/>
                    <w:rPr>
                      <w:b/>
                      <w:sz w:val="15"/>
                    </w:rPr>
                  </w:pPr>
                  <w:r>
                    <w:rPr>
                      <w:b/>
                      <w:color w:val="586670"/>
                      <w:w w:val="110"/>
                      <w:sz w:val="15"/>
                    </w:rPr>
                    <w:t>Paul Bulcke</w:t>
                  </w:r>
                </w:p>
              </w:txbxContent>
            </v:textbox>
            <v:fill type="solid"/>
            <w10:wrap type="none"/>
          </v:shape>
        </w:pict>
      </w:r>
      <w:r>
        <w:rPr/>
        <w:pict>
          <v:shape style="position:absolute;margin-left:206.931pt;margin-top:214.345993pt;width:100.2pt;height:27.2pt;mso-position-horizontal-relative:page;mso-position-vertical-relative:page;z-index:3328" type="#_x0000_t202" filled="true" fillcolor="#e6e8e9" stroked="false">
            <v:textbox inset="0,0,0,0">
              <w:txbxContent>
                <w:p>
                  <w:pPr>
                    <w:pStyle w:val="BodyText"/>
                    <w:spacing w:before="2"/>
                    <w:rPr>
                      <w:sz w:val="16"/>
                    </w:rPr>
                  </w:pPr>
                </w:p>
                <w:p>
                  <w:pPr>
                    <w:spacing w:before="0"/>
                    <w:ind w:left="83" w:right="0" w:firstLine="0"/>
                    <w:jc w:val="left"/>
                    <w:rPr>
                      <w:b/>
                      <w:sz w:val="15"/>
                    </w:rPr>
                  </w:pPr>
                  <w:r>
                    <w:rPr>
                      <w:b/>
                      <w:color w:val="586670"/>
                      <w:w w:val="105"/>
                      <w:sz w:val="15"/>
                    </w:rPr>
                    <w:t>Peter Brabeck-Letmathe</w:t>
                  </w:r>
                </w:p>
              </w:txbxContent>
            </v:textbox>
            <v:fill type="solid"/>
            <w10:wrap type="none"/>
          </v:shape>
        </w:pict>
      </w:r>
    </w:p>
    <w:p>
      <w:pPr>
        <w:pStyle w:val="BodyText"/>
        <w:rPr>
          <w:sz w:val="20"/>
        </w:rPr>
      </w:pPr>
    </w:p>
    <w:p>
      <w:pPr>
        <w:pStyle w:val="BodyText"/>
        <w:rPr>
          <w:sz w:val="20"/>
        </w:rPr>
      </w:pPr>
    </w:p>
    <w:p>
      <w:pPr>
        <w:pStyle w:val="BodyText"/>
        <w:spacing w:before="8"/>
        <w:rPr>
          <w:sz w:val="29"/>
        </w:rPr>
      </w:pPr>
    </w:p>
    <w:p>
      <w:pPr>
        <w:pStyle w:val="BodyText"/>
        <w:spacing w:line="20" w:lineRule="exact"/>
        <w:ind w:left="103"/>
        <w:rPr>
          <w:sz w:val="2"/>
        </w:rPr>
      </w:pPr>
      <w:r>
        <w:rPr>
          <w:sz w:val="2"/>
        </w:rPr>
        <w:pict>
          <v:group style="width:515.9500pt;height:.25pt;mso-position-horizontal-relative:char;mso-position-vertical-relative:line" coordorigin="0,0" coordsize="10319,5">
            <v:line style="position:absolute" from="0,3" to="10318,3" stroked="true" strokeweight=".25pt" strokecolor="#231f20">
              <v:stroke dashstyle="solid"/>
            </v:line>
          </v:group>
        </w:pict>
      </w:r>
      <w:r>
        <w:rPr>
          <w:sz w:val="2"/>
        </w:rPr>
      </w:r>
    </w:p>
    <w:p>
      <w:pPr>
        <w:pStyle w:val="BodyText"/>
        <w:rPr>
          <w:sz w:val="20"/>
        </w:rPr>
      </w:pPr>
    </w:p>
    <w:p>
      <w:pPr>
        <w:pStyle w:val="BodyText"/>
        <w:rPr>
          <w:sz w:val="20"/>
        </w:rPr>
      </w:pPr>
    </w:p>
    <w:p>
      <w:pPr>
        <w:pStyle w:val="BodyText"/>
        <w:spacing w:before="3"/>
      </w:pPr>
      <w:r>
        <w:rPr/>
        <w:pict>
          <v:shape style="position:absolute;margin-left:204.095993pt;margin-top:11.801344pt;width:105.85pt;height:60.05pt;mso-position-horizontal-relative:page;mso-position-vertical-relative:paragraph;z-index:416;mso-wrap-distance-left:0;mso-wrap-distance-right:0" type="#_x0000_t202" filled="true" fillcolor="#f6f6f7" stroked="false">
            <v:textbox inset="0,0,0,0">
              <w:txbxContent>
                <w:p>
                  <w:pPr>
                    <w:pStyle w:val="BodyText"/>
                    <w:spacing w:before="8"/>
                  </w:pPr>
                </w:p>
                <w:p>
                  <w:pPr>
                    <w:spacing w:before="0"/>
                    <w:ind w:left="290" w:right="0" w:firstLine="0"/>
                    <w:jc w:val="left"/>
                    <w:rPr>
                      <w:sz w:val="15"/>
                    </w:rPr>
                  </w:pPr>
                  <w:r>
                    <w:rPr>
                      <w:color w:val="586670"/>
                      <w:sz w:val="15"/>
                    </w:rPr>
                    <w:t>Chairman of the Board</w:t>
                  </w:r>
                </w:p>
              </w:txbxContent>
            </v:textbox>
            <v:fill type="solid"/>
            <w10:wrap type="topAndBottom"/>
          </v:shape>
        </w:pict>
      </w:r>
    </w:p>
    <w:p>
      <w:pPr>
        <w:pStyle w:val="BodyText"/>
        <w:spacing w:before="3"/>
        <w:rPr>
          <w:sz w:val="3"/>
        </w:rPr>
      </w:pPr>
    </w:p>
    <w:p>
      <w:pPr>
        <w:pStyle w:val="BodyText"/>
        <w:ind w:left="4677"/>
        <w:rPr>
          <w:sz w:val="20"/>
        </w:rPr>
      </w:pPr>
      <w:r>
        <w:rPr>
          <w:sz w:val="20"/>
        </w:rPr>
        <w:pict>
          <v:group style="width:.25pt;height:18.350pt;mso-position-horizontal-relative:char;mso-position-vertical-relative:line" coordorigin="0,0" coordsize="5,367">
            <v:line style="position:absolute" from="3,367" to="3,0" stroked="true" strokeweight=".25pt" strokecolor="#231f20">
              <v:stroke dashstyle="solid"/>
            </v:line>
          </v:group>
        </w:pict>
      </w:r>
      <w:r>
        <w:rPr>
          <w:sz w:val="20"/>
        </w:rPr>
      </w:r>
    </w:p>
    <w:p>
      <w:pPr>
        <w:spacing w:line="240" w:lineRule="auto"/>
        <w:ind w:left="3621" w:right="0" w:firstLine="0"/>
        <w:rPr>
          <w:sz w:val="20"/>
        </w:rPr>
      </w:pPr>
      <w:r>
        <w:rPr>
          <w:sz w:val="20"/>
        </w:rPr>
        <w:pict>
          <v:shape style="width:105.85pt;height:60.05pt;mso-position-horizontal-relative:char;mso-position-vertical-relative:line" type="#_x0000_t202" filled="true" fillcolor="#f6f6f7" stroked="false">
            <w10:anchorlock/>
            <v:textbox inset="0,0,0,0">
              <w:txbxContent>
                <w:p>
                  <w:pPr>
                    <w:pStyle w:val="BodyText"/>
                    <w:spacing w:before="10"/>
                  </w:pPr>
                </w:p>
                <w:p>
                  <w:pPr>
                    <w:spacing w:before="0"/>
                    <w:ind w:left="273" w:right="0" w:firstLine="0"/>
                    <w:jc w:val="left"/>
                    <w:rPr>
                      <w:sz w:val="15"/>
                    </w:rPr>
                  </w:pPr>
                  <w:r>
                    <w:rPr>
                      <w:color w:val="586670"/>
                      <w:sz w:val="15"/>
                    </w:rPr>
                    <w:t>Chief Executive Officer</w:t>
                  </w:r>
                </w:p>
              </w:txbxContent>
            </v:textbox>
            <v:fill type="solid"/>
          </v:shape>
        </w:pict>
      </w:r>
      <w:r>
        <w:rPr>
          <w:sz w:val="20"/>
        </w:rPr>
      </w:r>
      <w:r>
        <w:rPr>
          <w:rFonts w:ascii="Times New Roman"/>
          <w:spacing w:val="40"/>
          <w:sz w:val="2"/>
        </w:rPr>
        <w:t> </w:t>
      </w:r>
      <w:r>
        <w:rPr>
          <w:spacing w:val="40"/>
          <w:position w:val="60"/>
          <w:sz w:val="20"/>
        </w:rPr>
        <w:pict>
          <v:group style="width:5.7pt;height:.25pt;mso-position-horizontal-relative:char;mso-position-vertical-relative:line" coordorigin="0,0" coordsize="114,5">
            <v:line style="position:absolute" from="0,3" to="113,3" stroked="true" strokeweight=".25pt" strokecolor="#231f20">
              <v:stroke dashstyle="solid"/>
            </v:line>
          </v:group>
        </w:pict>
      </w:r>
      <w:r>
        <w:rPr>
          <w:spacing w:val="40"/>
          <w:position w:val="60"/>
          <w:sz w:val="20"/>
        </w:rPr>
      </w:r>
      <w:r>
        <w:rPr>
          <w:rFonts w:ascii="Times New Roman"/>
          <w:spacing w:val="-12"/>
          <w:position w:val="60"/>
          <w:sz w:val="20"/>
        </w:rPr>
        <w:t> </w:t>
      </w:r>
      <w:r>
        <w:rPr>
          <w:spacing w:val="-12"/>
          <w:sz w:val="20"/>
        </w:rPr>
        <w:pict>
          <v:shape style="width:105.85pt;height:60.05pt;mso-position-horizontal-relative:char;mso-position-vertical-relative:line" type="#_x0000_t202" filled="true" fillcolor="#f6f6f7" stroked="false">
            <w10:anchorlock/>
            <v:textbox inset="0,0,0,0">
              <w:txbxContent>
                <w:p>
                  <w:pPr>
                    <w:pStyle w:val="BodyText"/>
                    <w:spacing w:before="10"/>
                    <w:rPr>
                      <w:rFonts w:ascii="Times New Roman"/>
                    </w:rPr>
                  </w:pPr>
                </w:p>
                <w:p>
                  <w:pPr>
                    <w:spacing w:before="1"/>
                    <w:ind w:left="303" w:right="0" w:firstLine="0"/>
                    <w:jc w:val="left"/>
                    <w:rPr>
                      <w:sz w:val="15"/>
                    </w:rPr>
                  </w:pPr>
                  <w:r>
                    <w:rPr>
                      <w:color w:val="586670"/>
                      <w:sz w:val="15"/>
                    </w:rPr>
                    <w:t>Nestlé Health Science</w:t>
                  </w:r>
                </w:p>
              </w:txbxContent>
            </v:textbox>
            <v:fill type="solid"/>
          </v:shape>
        </w:pict>
      </w:r>
      <w:r>
        <w:rPr>
          <w:spacing w:val="-12"/>
          <w:sz w:val="20"/>
        </w:rPr>
      </w:r>
    </w:p>
    <w:p>
      <w:pPr>
        <w:pStyle w:val="BodyText"/>
        <w:spacing w:before="7"/>
        <w:rPr>
          <w:sz w:val="2"/>
        </w:rPr>
      </w:pPr>
    </w:p>
    <w:p>
      <w:pPr>
        <w:pStyle w:val="BodyText"/>
        <w:ind w:left="163"/>
        <w:rPr>
          <w:sz w:val="20"/>
        </w:rPr>
      </w:pPr>
      <w:r>
        <w:rPr>
          <w:sz w:val="20"/>
        </w:rPr>
        <w:pict>
          <v:group style="width:513.1pt;height:270.350pt;mso-position-horizontal-relative:char;mso-position-vertical-relative:line" coordorigin="0,0" coordsize="10262,5407">
            <v:line style="position:absolute" from="1002,1866" to="8032,1866" stroked="true" strokeweight=".25pt" strokecolor="#231f20">
              <v:stroke dashstyle="solid"/>
            </v:line>
            <v:line style="position:absolute" from="2173,3546" to="8032,3546" stroked="true" strokeweight=".25pt" strokecolor="#231f20">
              <v:stroke dashstyle="solid"/>
            </v:line>
            <v:line style="position:absolute" from="2173,5226" to="6860,5226" stroked="true" strokeweight=".25pt" strokecolor="#231f20">
              <v:stroke dashstyle="solid"/>
            </v:line>
            <v:line style="position:absolute" from="4517,5407" to="4517,0" stroked="true" strokeweight=".25pt" strokecolor="#231f20">
              <v:stroke dashstyle="solid"/>
            </v:line>
            <v:line style="position:absolute" from="1002,2047" to="1002,1863" stroked="true" strokeweight=".25pt" strokecolor="#231f20">
              <v:stroke dashstyle="solid"/>
            </v:line>
            <v:line style="position:absolute" from="2173,3727" to="2173,3543" stroked="true" strokeweight=".25pt" strokecolor="#231f20">
              <v:stroke dashstyle="solid"/>
            </v:line>
            <v:line style="position:absolute" from="2173,5407" to="2173,5223" stroked="true" strokeweight=".25pt" strokecolor="#231f20">
              <v:stroke dashstyle="solid"/>
            </v:line>
            <v:line style="position:absolute" from="6860,5407" to="6860,5223" stroked="true" strokeweight=".25pt" strokecolor="#231f20">
              <v:stroke dashstyle="solid"/>
            </v:line>
            <v:line style="position:absolute" from="5688,3727" to="5688,3543" stroked="true" strokeweight=".25pt" strokecolor="#231f20">
              <v:stroke dashstyle="solid"/>
            </v:line>
            <v:line style="position:absolute" from="8032,3727" to="8032,3543" stroked="true" strokeweight=".25pt" strokecolor="#231f20">
              <v:stroke dashstyle="solid"/>
            </v:line>
            <v:line style="position:absolute" from="3345,2047" to="3345,1863" stroked="true" strokeweight=".25pt" strokecolor="#231f20">
              <v:stroke dashstyle="solid"/>
            </v:line>
            <v:line style="position:absolute" from="5688,2047" to="5688,1863" stroked="true" strokeweight=".25pt" strokecolor="#231f20">
              <v:stroke dashstyle="solid"/>
            </v:line>
            <v:line style="position:absolute" from="8032,2047" to="8032,1863" stroked="true" strokeweight=".3pt" strokecolor="#231f20">
              <v:stroke dashstyle="solid"/>
            </v:line>
            <v:line style="position:absolute" from="2173,186" to="9203,186" stroked="true" strokeweight=".25pt" strokecolor="#231f20">
              <v:stroke dashstyle="solid"/>
            </v:line>
            <v:line style="position:absolute" from="2173,367" to="2173,183" stroked="true" strokeweight=".25pt" strokecolor="#231f20">
              <v:stroke dashstyle="solid"/>
            </v:line>
            <v:line style="position:absolute" from="6860,367" to="6860,183" stroked="true" strokeweight=".25pt" strokecolor="#231f20">
              <v:stroke dashstyle="solid"/>
            </v:line>
            <v:line style="position:absolute" from="9203,367" to="9203,183" stroked="true" strokeweight=".25pt" strokecolor="#231f20">
              <v:stroke dashstyle="solid"/>
            </v:line>
            <v:shape style="position:absolute;left:0;top:2703;width:2060;height:601" type="#_x0000_t202" filled="true" fillcolor="#e6e8e9" stroked="false">
              <v:textbox inset="0,0,0,0">
                <w:txbxContent>
                  <w:p>
                    <w:pPr>
                      <w:spacing w:line="240" w:lineRule="auto" w:before="2"/>
                      <w:rPr>
                        <w:sz w:val="16"/>
                      </w:rPr>
                    </w:pPr>
                  </w:p>
                  <w:p>
                    <w:pPr>
                      <w:spacing w:before="0"/>
                      <w:ind w:left="580" w:right="0" w:firstLine="0"/>
                      <w:jc w:val="left"/>
                      <w:rPr>
                        <w:b/>
                        <w:sz w:val="15"/>
                      </w:rPr>
                    </w:pPr>
                    <w:r>
                      <w:rPr>
                        <w:b/>
                        <w:color w:val="586670"/>
                        <w:w w:val="105"/>
                        <w:sz w:val="15"/>
                      </w:rPr>
                      <w:t>José Lopez</w:t>
                    </w:r>
                  </w:p>
                </w:txbxContent>
              </v:textbox>
              <v:fill type="solid"/>
              <w10:wrap type="none"/>
            </v:shape>
            <v:shape style="position:absolute;left:0;top:2103;width:2060;height:601" type="#_x0000_t202" filled="true" fillcolor="#f6f6f7" stroked="false">
              <v:textbox inset="0,0,0,0">
                <w:txbxContent>
                  <w:p>
                    <w:pPr>
                      <w:spacing w:line="240" w:lineRule="auto" w:before="8"/>
                      <w:rPr>
                        <w:sz w:val="18"/>
                      </w:rPr>
                    </w:pPr>
                  </w:p>
                  <w:p>
                    <w:pPr>
                      <w:spacing w:before="1"/>
                      <w:ind w:left="624" w:right="0" w:firstLine="0"/>
                      <w:jc w:val="left"/>
                      <w:rPr>
                        <w:sz w:val="15"/>
                      </w:rPr>
                    </w:pPr>
                    <w:r>
                      <w:rPr>
                        <w:color w:val="586670"/>
                        <w:sz w:val="15"/>
                      </w:rPr>
                      <w:t>Operations</w:t>
                    </w:r>
                  </w:p>
                </w:txbxContent>
              </v:textbox>
              <v:fill type="solid"/>
              <w10:wrap type="none"/>
            </v:shape>
            <v:shape style="position:absolute;left:8201;top:1023;width:2060;height:600" type="#_x0000_t202" filled="true" fillcolor="#e6e8e9" stroked="false">
              <v:textbox inset="0,0,0,0">
                <w:txbxContent>
                  <w:p>
                    <w:pPr>
                      <w:spacing w:line="240" w:lineRule="auto" w:before="2"/>
                      <w:rPr>
                        <w:sz w:val="16"/>
                      </w:rPr>
                    </w:pPr>
                  </w:p>
                  <w:p>
                    <w:pPr>
                      <w:spacing w:before="0"/>
                      <w:ind w:left="605" w:right="0" w:firstLine="0"/>
                      <w:jc w:val="left"/>
                      <w:rPr>
                        <w:b/>
                        <w:sz w:val="15"/>
                      </w:rPr>
                    </w:pPr>
                    <w:r>
                      <w:rPr>
                        <w:b/>
                        <w:color w:val="586670"/>
                        <w:w w:val="110"/>
                        <w:sz w:val="15"/>
                      </w:rPr>
                      <w:t>Peter Vogt</w:t>
                    </w:r>
                  </w:p>
                </w:txbxContent>
              </v:textbox>
              <v:fill type="solid"/>
              <w10:wrap type="none"/>
            </v:shape>
            <v:shape style="position:absolute;left:8201;top:423;width:2060;height:601" type="#_x0000_t202" filled="true" fillcolor="#f6f6f7" stroked="false">
              <v:textbox inset="0,0,0,0">
                <w:txbxContent>
                  <w:p>
                    <w:pPr>
                      <w:spacing w:line="240" w:lineRule="auto" w:before="8"/>
                      <w:rPr>
                        <w:sz w:val="18"/>
                      </w:rPr>
                    </w:pPr>
                  </w:p>
                  <w:p>
                    <w:pPr>
                      <w:spacing w:before="1"/>
                      <w:ind w:left="371" w:right="0" w:firstLine="0"/>
                      <w:jc w:val="left"/>
                      <w:rPr>
                        <w:sz w:val="15"/>
                      </w:rPr>
                    </w:pPr>
                    <w:r>
                      <w:rPr>
                        <w:color w:val="586670"/>
                        <w:w w:val="105"/>
                        <w:sz w:val="15"/>
                      </w:rPr>
                      <w:t>Human Resources</w:t>
                    </w:r>
                  </w:p>
                </w:txbxContent>
              </v:textbox>
              <v:fill type="solid"/>
              <w10:wrap type="none"/>
            </v:shape>
            <v:shape style="position:absolute;left:2343;top:2703;width:2060;height:601" type="#_x0000_t202" filled="true" fillcolor="#e6e8e9" stroked="false">
              <v:textbox inset="0,0,0,0">
                <w:txbxContent>
                  <w:p>
                    <w:pPr>
                      <w:spacing w:line="240" w:lineRule="auto" w:before="2"/>
                      <w:rPr>
                        <w:sz w:val="16"/>
                      </w:rPr>
                    </w:pPr>
                  </w:p>
                  <w:p>
                    <w:pPr>
                      <w:spacing w:before="0"/>
                      <w:ind w:left="302" w:right="0" w:firstLine="0"/>
                      <w:jc w:val="left"/>
                      <w:rPr>
                        <w:b/>
                        <w:sz w:val="15"/>
                      </w:rPr>
                    </w:pPr>
                    <w:r>
                      <w:rPr>
                        <w:b/>
                        <w:color w:val="586670"/>
                        <w:w w:val="110"/>
                        <w:sz w:val="15"/>
                      </w:rPr>
                      <w:t>Wan Ling Martello</w:t>
                    </w:r>
                  </w:p>
                </w:txbxContent>
              </v:textbox>
              <v:fill type="solid"/>
              <w10:wrap type="none"/>
            </v:shape>
            <v:shape style="position:absolute;left:2343;top:2103;width:2060;height:601" type="#_x0000_t202" filled="true" fillcolor="#f6f6f7" stroked="false">
              <v:textbox inset="0,0,0,0">
                <w:txbxContent>
                  <w:p>
                    <w:pPr>
                      <w:spacing w:line="240" w:lineRule="auto" w:before="8"/>
                      <w:rPr>
                        <w:sz w:val="18"/>
                      </w:rPr>
                    </w:pPr>
                  </w:p>
                  <w:p>
                    <w:pPr>
                      <w:spacing w:before="1"/>
                      <w:ind w:left="390" w:right="0" w:firstLine="0"/>
                      <w:jc w:val="left"/>
                      <w:rPr>
                        <w:sz w:val="15"/>
                      </w:rPr>
                    </w:pPr>
                    <w:r>
                      <w:rPr>
                        <w:color w:val="586670"/>
                        <w:sz w:val="15"/>
                      </w:rPr>
                      <w:t>Finance &amp; Control</w:t>
                    </w:r>
                  </w:p>
                </w:txbxContent>
              </v:textbox>
              <v:fill type="solid"/>
              <w10:wrap type="none"/>
            </v:shape>
            <v:shape style="position:absolute;left:6973;top:3783;width:2117;height:1201" type="#_x0000_t202" filled="true" fillcolor="#f6f6f7" stroked="false">
              <v:textbox inset="0,0,0,0">
                <w:txbxContent>
                  <w:p>
                    <w:pPr>
                      <w:spacing w:line="240" w:lineRule="auto" w:before="8"/>
                      <w:rPr>
                        <w:sz w:val="18"/>
                      </w:rPr>
                    </w:pPr>
                  </w:p>
                  <w:p>
                    <w:pPr>
                      <w:spacing w:before="1"/>
                      <w:ind w:left="401" w:right="0" w:firstLine="0"/>
                      <w:jc w:val="left"/>
                      <w:rPr>
                        <w:sz w:val="15"/>
                      </w:rPr>
                    </w:pPr>
                    <w:r>
                      <w:rPr>
                        <w:color w:val="586670"/>
                        <w:sz w:val="15"/>
                      </w:rPr>
                      <w:t>Nestlé Professional</w:t>
                    </w:r>
                  </w:p>
                </w:txbxContent>
              </v:textbox>
              <v:fill type="solid"/>
              <w10:wrap type="none"/>
            </v:shape>
            <v:shape style="position:absolute;left:7029;top:4383;width:2004;height:544" type="#_x0000_t202" filled="true" fillcolor="#e6e8e9" stroked="false">
              <v:textbox inset="0,0,0,0">
                <w:txbxContent>
                  <w:p>
                    <w:pPr>
                      <w:spacing w:line="240" w:lineRule="auto" w:before="2"/>
                      <w:rPr>
                        <w:sz w:val="16"/>
                      </w:rPr>
                    </w:pPr>
                  </w:p>
                  <w:p>
                    <w:pPr>
                      <w:spacing w:before="0"/>
                      <w:ind w:left="422" w:right="0" w:firstLine="0"/>
                      <w:jc w:val="left"/>
                      <w:rPr>
                        <w:b/>
                        <w:sz w:val="15"/>
                      </w:rPr>
                    </w:pPr>
                    <w:r>
                      <w:rPr>
                        <w:b/>
                        <w:color w:val="586670"/>
                        <w:w w:val="105"/>
                        <w:sz w:val="15"/>
                      </w:rPr>
                      <w:t>Martial Rolland</w:t>
                    </w:r>
                  </w:p>
                </w:txbxContent>
              </v:textbox>
              <v:fill type="solid"/>
              <w10:wrap type="none"/>
            </v:shape>
            <v:shape style="position:absolute;left:4629;top:3783;width:2117;height:1201" type="#_x0000_t202" filled="true" fillcolor="#f6f6f7" stroked="false">
              <v:textbox inset="0,0,0,0">
                <w:txbxContent>
                  <w:p>
                    <w:pPr>
                      <w:spacing w:line="240" w:lineRule="auto" w:before="8"/>
                      <w:rPr>
                        <w:sz w:val="18"/>
                      </w:rPr>
                    </w:pPr>
                  </w:p>
                  <w:p>
                    <w:pPr>
                      <w:spacing w:before="1"/>
                      <w:ind w:left="517" w:right="0" w:firstLine="0"/>
                      <w:jc w:val="left"/>
                      <w:rPr>
                        <w:sz w:val="15"/>
                      </w:rPr>
                    </w:pPr>
                    <w:r>
                      <w:rPr>
                        <w:color w:val="586670"/>
                        <w:sz w:val="15"/>
                      </w:rPr>
                      <w:t>Nestlé Nutrition</w:t>
                    </w:r>
                  </w:p>
                </w:txbxContent>
              </v:textbox>
              <v:fill type="solid"/>
              <w10:wrap type="none"/>
            </v:shape>
            <v:shape style="position:absolute;left:4686;top:4383;width:2004;height:544" type="#_x0000_t202" filled="true" fillcolor="#e6e8e9" stroked="false">
              <v:textbox inset="0,0,0,0">
                <w:txbxContent>
                  <w:p>
                    <w:pPr>
                      <w:spacing w:line="240" w:lineRule="auto" w:before="2"/>
                      <w:rPr>
                        <w:sz w:val="16"/>
                      </w:rPr>
                    </w:pPr>
                  </w:p>
                  <w:p>
                    <w:pPr>
                      <w:spacing w:before="0"/>
                      <w:ind w:left="482" w:right="0" w:firstLine="0"/>
                      <w:jc w:val="left"/>
                      <w:rPr>
                        <w:b/>
                        <w:sz w:val="15"/>
                      </w:rPr>
                    </w:pPr>
                    <w:r>
                      <w:rPr>
                        <w:b/>
                        <w:color w:val="586670"/>
                        <w:w w:val="105"/>
                        <w:sz w:val="15"/>
                      </w:rPr>
                      <w:t>Luis Cantarell</w:t>
                    </w:r>
                  </w:p>
                </w:txbxContent>
              </v:textbox>
              <v:fill type="solid"/>
              <w10:wrap type="none"/>
            </v:shape>
            <v:shape style="position:absolute;left:1114;top:3783;width:2117;height:1201" type="#_x0000_t202" filled="true" fillcolor="#f6f6f7" stroked="false">
              <v:textbox inset="0,0,0,0">
                <w:txbxContent>
                  <w:p>
                    <w:pPr>
                      <w:spacing w:line="240" w:lineRule="auto" w:before="8"/>
                      <w:rPr>
                        <w:sz w:val="18"/>
                      </w:rPr>
                    </w:pPr>
                  </w:p>
                  <w:p>
                    <w:pPr>
                      <w:spacing w:before="1"/>
                      <w:ind w:left="575" w:right="0" w:firstLine="0"/>
                      <w:jc w:val="left"/>
                      <w:rPr>
                        <w:sz w:val="15"/>
                      </w:rPr>
                    </w:pPr>
                    <w:r>
                      <w:rPr>
                        <w:color w:val="586670"/>
                        <w:sz w:val="15"/>
                      </w:rPr>
                      <w:t>Nestlé Waters</w:t>
                    </w:r>
                  </w:p>
                </w:txbxContent>
              </v:textbox>
              <v:fill type="solid"/>
              <w10:wrap type="none"/>
            </v:shape>
            <v:shape style="position:absolute;left:1171;top:4383;width:2004;height:544" type="#_x0000_t202" filled="true" fillcolor="#e6e8e9" stroked="false">
              <v:textbox inset="0,0,0,0">
                <w:txbxContent>
                  <w:p>
                    <w:pPr>
                      <w:spacing w:line="240" w:lineRule="auto" w:before="2"/>
                      <w:rPr>
                        <w:sz w:val="16"/>
                      </w:rPr>
                    </w:pPr>
                  </w:p>
                  <w:p>
                    <w:pPr>
                      <w:spacing w:before="0"/>
                      <w:ind w:left="360" w:right="0" w:firstLine="0"/>
                      <w:jc w:val="left"/>
                      <w:rPr>
                        <w:b/>
                        <w:sz w:val="15"/>
                      </w:rPr>
                    </w:pPr>
                    <w:r>
                      <w:rPr>
                        <w:b/>
                        <w:color w:val="586670"/>
                        <w:w w:val="110"/>
                        <w:sz w:val="15"/>
                      </w:rPr>
                      <w:t>Marco Settembri</w:t>
                    </w:r>
                  </w:p>
                </w:txbxContent>
              </v:textbox>
              <v:fill type="solid"/>
              <w10:wrap type="none"/>
            </v:shape>
            <v:shape style="position:absolute;left:6973;top:2103;width:2117;height:1201" type="#_x0000_t202" filled="true" fillcolor="#f6f6f7" stroked="false">
              <v:textbox inset="0,0,0,0">
                <w:txbxContent>
                  <w:p>
                    <w:pPr>
                      <w:spacing w:line="247" w:lineRule="auto" w:before="128"/>
                      <w:ind w:left="334" w:right="0" w:firstLine="363"/>
                      <w:jc w:val="left"/>
                      <w:rPr>
                        <w:sz w:val="15"/>
                      </w:rPr>
                    </w:pPr>
                    <w:r>
                      <w:rPr>
                        <w:color w:val="586670"/>
                        <w:sz w:val="15"/>
                      </w:rPr>
                      <w:t>Innovation Technology and R&amp;D</w:t>
                    </w:r>
                  </w:p>
                </w:txbxContent>
              </v:textbox>
              <v:fill type="solid"/>
              <w10:wrap type="none"/>
            </v:shape>
            <v:shape style="position:absolute;left:7029;top:2703;width:2004;height:544" type="#_x0000_t202" filled="true" fillcolor="#e6e8e9" stroked="false">
              <v:textbox inset="0,0,0,0">
                <w:txbxContent>
                  <w:p>
                    <w:pPr>
                      <w:spacing w:line="240" w:lineRule="auto" w:before="2"/>
                      <w:rPr>
                        <w:sz w:val="16"/>
                      </w:rPr>
                    </w:pPr>
                  </w:p>
                  <w:p>
                    <w:pPr>
                      <w:spacing w:before="0"/>
                      <w:ind w:left="411" w:right="0" w:firstLine="0"/>
                      <w:jc w:val="left"/>
                      <w:rPr>
                        <w:b/>
                        <w:sz w:val="15"/>
                      </w:rPr>
                    </w:pPr>
                    <w:r>
                      <w:rPr>
                        <w:b/>
                        <w:color w:val="586670"/>
                        <w:w w:val="110"/>
                        <w:sz w:val="15"/>
                      </w:rPr>
                      <w:t>Stefan Catsicas</w:t>
                    </w:r>
                  </w:p>
                </w:txbxContent>
              </v:textbox>
              <v:fill type="solid"/>
              <w10:wrap type="none"/>
            </v:shape>
            <v:shape style="position:absolute;left:4629;top:2103;width:2117;height:1201" type="#_x0000_t202" filled="true" fillcolor="#f6f6f7" stroked="false">
              <v:textbox inset="0,0,0,0">
                <w:txbxContent>
                  <w:p>
                    <w:pPr>
                      <w:spacing w:line="247" w:lineRule="auto" w:before="128"/>
                      <w:ind w:left="361" w:right="0" w:hanging="158"/>
                      <w:jc w:val="left"/>
                      <w:rPr>
                        <w:sz w:val="15"/>
                      </w:rPr>
                    </w:pPr>
                    <w:r>
                      <w:rPr>
                        <w:color w:val="586670"/>
                        <w:sz w:val="15"/>
                      </w:rPr>
                      <w:t>Strategic Business Units, Marketing and Sales</w:t>
                    </w:r>
                  </w:p>
                </w:txbxContent>
              </v:textbox>
              <v:fill type="solid"/>
              <w10:wrap type="none"/>
            </v:shape>
            <v:shape style="position:absolute;left:4686;top:2703;width:2004;height:544" type="#_x0000_t202" filled="true" fillcolor="#e6e8e9" stroked="false">
              <v:textbox inset="0,0,0,0">
                <w:txbxContent>
                  <w:p>
                    <w:pPr>
                      <w:spacing w:line="240" w:lineRule="auto" w:before="2"/>
                      <w:rPr>
                        <w:sz w:val="16"/>
                      </w:rPr>
                    </w:pPr>
                  </w:p>
                  <w:p>
                    <w:pPr>
                      <w:spacing w:before="0"/>
                      <w:ind w:left="548" w:right="0" w:firstLine="0"/>
                      <w:jc w:val="left"/>
                      <w:rPr>
                        <w:b/>
                        <w:sz w:val="15"/>
                      </w:rPr>
                    </w:pPr>
                    <w:r>
                      <w:rPr>
                        <w:b/>
                        <w:color w:val="586670"/>
                        <w:w w:val="105"/>
                        <w:sz w:val="15"/>
                      </w:rPr>
                      <w:t>Patrice Bula</w:t>
                    </w:r>
                  </w:p>
                </w:txbxContent>
              </v:textbox>
              <v:fill type="solid"/>
              <w10:wrap type="none"/>
            </v:shape>
            <v:shape style="position:absolute;left:5801;top:423;width:2117;height:1201" type="#_x0000_t202" filled="true" fillcolor="#f6f6f7" stroked="false">
              <v:textbox inset="0,0,0,0">
                <w:txbxContent>
                  <w:p>
                    <w:pPr>
                      <w:spacing w:line="247" w:lineRule="auto" w:before="128"/>
                      <w:ind w:left="473" w:right="0" w:firstLine="241"/>
                      <w:jc w:val="left"/>
                      <w:rPr>
                        <w:sz w:val="15"/>
                      </w:rPr>
                    </w:pPr>
                    <w:r>
                      <w:rPr>
                        <w:color w:val="586670"/>
                        <w:sz w:val="15"/>
                      </w:rPr>
                      <w:t>Corporate Communications</w:t>
                    </w:r>
                  </w:p>
                </w:txbxContent>
              </v:textbox>
              <v:fill type="solid"/>
              <w10:wrap type="none"/>
            </v:shape>
            <v:shape style="position:absolute;left:5858;top:1023;width:2004;height:544" type="#_x0000_t202" filled="true" fillcolor="#e6e8e9" stroked="false">
              <v:textbox inset="0,0,0,0">
                <w:txbxContent>
                  <w:p>
                    <w:pPr>
                      <w:spacing w:line="240" w:lineRule="auto" w:before="2"/>
                      <w:rPr>
                        <w:sz w:val="16"/>
                      </w:rPr>
                    </w:pPr>
                  </w:p>
                  <w:p>
                    <w:pPr>
                      <w:spacing w:before="0"/>
                      <w:ind w:left="350" w:right="0" w:firstLine="0"/>
                      <w:jc w:val="left"/>
                      <w:rPr>
                        <w:b/>
                        <w:sz w:val="15"/>
                      </w:rPr>
                    </w:pPr>
                    <w:r>
                      <w:rPr>
                        <w:b/>
                        <w:color w:val="586670"/>
                        <w:w w:val="110"/>
                        <w:sz w:val="15"/>
                      </w:rPr>
                      <w:t>Rudolf Ramsauer</w:t>
                    </w:r>
                  </w:p>
                </w:txbxContent>
              </v:textbox>
              <v:fill type="solid"/>
              <w10:wrap type="none"/>
            </v:shape>
            <v:shape style="position:absolute;left:1114;top:423;width:2117;height:1201" type="#_x0000_t202" filled="true" fillcolor="#f6f6f7" stroked="false">
              <v:textbox inset="0,0,0,0">
                <w:txbxContent>
                  <w:p>
                    <w:pPr>
                      <w:spacing w:line="247" w:lineRule="auto" w:before="38"/>
                      <w:ind w:left="284" w:right="282" w:firstLine="0"/>
                      <w:jc w:val="center"/>
                      <w:rPr>
                        <w:sz w:val="15"/>
                      </w:rPr>
                    </w:pPr>
                    <w:r>
                      <w:rPr>
                        <w:color w:val="586670"/>
                        <w:sz w:val="15"/>
                      </w:rPr>
                      <w:t>Corporate Governance Compliance &amp; Corporate Services</w:t>
                    </w:r>
                  </w:p>
                </w:txbxContent>
              </v:textbox>
              <v:fill type="solid"/>
              <w10:wrap type="none"/>
            </v:shape>
            <v:shape style="position:absolute;left:1171;top:1023;width:2004;height:544" type="#_x0000_t202" filled="true" fillcolor="#e6e8e9" stroked="false">
              <v:textbox inset="0,0,0,0">
                <w:txbxContent>
                  <w:p>
                    <w:pPr>
                      <w:spacing w:line="240" w:lineRule="auto" w:before="2"/>
                      <w:rPr>
                        <w:sz w:val="16"/>
                      </w:rPr>
                    </w:pPr>
                  </w:p>
                  <w:p>
                    <w:pPr>
                      <w:spacing w:before="0"/>
                      <w:ind w:left="489" w:right="0" w:firstLine="0"/>
                      <w:jc w:val="left"/>
                      <w:rPr>
                        <w:b/>
                        <w:sz w:val="15"/>
                      </w:rPr>
                    </w:pPr>
                    <w:r>
                      <w:rPr>
                        <w:b/>
                        <w:color w:val="586670"/>
                        <w:w w:val="105"/>
                        <w:sz w:val="15"/>
                      </w:rPr>
                      <w:t>David P. Frick</w:t>
                    </w:r>
                  </w:p>
                </w:txbxContent>
              </v:textbox>
              <v:fill type="solid"/>
              <w10:wrap type="none"/>
            </v:shape>
          </v:group>
        </w:pict>
      </w:r>
      <w:r>
        <w:rPr>
          <w:sz w:val="20"/>
        </w:rPr>
      </w:r>
    </w:p>
    <w:p>
      <w:pPr>
        <w:tabs>
          <w:tab w:pos="3621" w:val="left" w:leader="none"/>
          <w:tab w:pos="5965" w:val="left" w:leader="none"/>
        </w:tabs>
        <w:spacing w:line="240" w:lineRule="auto"/>
        <w:ind w:left="1278" w:right="0" w:firstLine="0"/>
        <w:rPr>
          <w:sz w:val="20"/>
        </w:rPr>
      </w:pPr>
      <w:r>
        <w:rPr>
          <w:sz w:val="20"/>
        </w:rPr>
        <w:pict>
          <v:shape style="width:105.85pt;height:60.05pt;mso-position-horizontal-relative:char;mso-position-vertical-relative:line" type="#_x0000_t202" filled="true" fillcolor="#f6f6f7" stroked="false">
            <w10:anchorlock/>
            <v:textbox inset="0,0,0,0">
              <w:txbxContent>
                <w:p>
                  <w:pPr>
                    <w:spacing w:line="247" w:lineRule="auto" w:before="128"/>
                    <w:ind w:left="813" w:right="224" w:hanging="117"/>
                    <w:jc w:val="left"/>
                    <w:rPr>
                      <w:sz w:val="15"/>
                    </w:rPr>
                  </w:pPr>
                  <w:r>
                    <w:rPr>
                      <w:color w:val="586670"/>
                      <w:w w:val="105"/>
                      <w:sz w:val="15"/>
                    </w:rPr>
                    <w:t>Zone EUR: Europe</w:t>
                  </w:r>
                </w:p>
              </w:txbxContent>
            </v:textbox>
            <v:fill type="solid"/>
          </v:shape>
        </w:pict>
      </w:r>
      <w:r>
        <w:rPr>
          <w:sz w:val="20"/>
        </w:rPr>
      </w:r>
      <w:r>
        <w:rPr>
          <w:sz w:val="20"/>
        </w:rPr>
        <w:tab/>
      </w:r>
      <w:r>
        <w:rPr>
          <w:sz w:val="20"/>
        </w:rPr>
        <w:pict>
          <v:shape style="width:105.85pt;height:60.05pt;mso-position-horizontal-relative:char;mso-position-vertical-relative:line" type="#_x0000_t202" filled="true" fillcolor="#f6f6f7" stroked="false">
            <w10:anchorlock/>
            <v:textbox inset="0,0,0,0">
              <w:txbxContent>
                <w:p>
                  <w:pPr>
                    <w:spacing w:before="128"/>
                    <w:ind w:left="282" w:right="282" w:firstLine="0"/>
                    <w:jc w:val="center"/>
                    <w:rPr>
                      <w:sz w:val="15"/>
                    </w:rPr>
                  </w:pPr>
                  <w:r>
                    <w:rPr>
                      <w:color w:val="586670"/>
                      <w:w w:val="105"/>
                      <w:sz w:val="15"/>
                    </w:rPr>
                    <w:t>Zone AOA:</w:t>
                  </w:r>
                </w:p>
                <w:p>
                  <w:pPr>
                    <w:spacing w:before="5"/>
                    <w:ind w:left="216" w:right="216" w:firstLine="0"/>
                    <w:jc w:val="center"/>
                    <w:rPr>
                      <w:sz w:val="15"/>
                    </w:rPr>
                  </w:pPr>
                  <w:r>
                    <w:rPr>
                      <w:color w:val="586670"/>
                      <w:sz w:val="15"/>
                    </w:rPr>
                    <w:t>Asia, Oceania and Africa</w:t>
                  </w:r>
                </w:p>
              </w:txbxContent>
            </v:textbox>
            <v:fill type="solid"/>
          </v:shape>
        </w:pict>
      </w:r>
      <w:r>
        <w:rPr>
          <w:sz w:val="20"/>
        </w:rPr>
      </w:r>
      <w:r>
        <w:rPr>
          <w:sz w:val="20"/>
        </w:rPr>
        <w:tab/>
      </w:r>
      <w:r>
        <w:rPr>
          <w:sz w:val="20"/>
        </w:rPr>
        <w:pict>
          <v:shape style="width:105.85pt;height:60.05pt;mso-position-horizontal-relative:char;mso-position-vertical-relative:line" type="#_x0000_t202" filled="true" fillcolor="#f6f6f7" stroked="false">
            <w10:anchorlock/>
            <v:textbox inset="0,0,0,0">
              <w:txbxContent>
                <w:p>
                  <w:pPr>
                    <w:spacing w:line="247" w:lineRule="auto" w:before="128"/>
                    <w:ind w:left="732" w:right="224" w:hanging="56"/>
                    <w:jc w:val="left"/>
                    <w:rPr>
                      <w:sz w:val="15"/>
                    </w:rPr>
                  </w:pPr>
                  <w:r>
                    <w:rPr>
                      <w:color w:val="586670"/>
                      <w:w w:val="105"/>
                      <w:sz w:val="15"/>
                    </w:rPr>
                    <w:t>Zone AMS: Americas</w:t>
                  </w:r>
                </w:p>
              </w:txbxContent>
            </v:textbox>
            <v:fill type="solid"/>
          </v:shape>
        </w:pict>
      </w:r>
      <w:r>
        <w:rPr>
          <w:sz w:val="20"/>
        </w:rPr>
      </w:r>
    </w:p>
    <w:p>
      <w:pPr>
        <w:pStyle w:val="BodyText"/>
        <w:rPr>
          <w:sz w:val="20"/>
        </w:rPr>
      </w:pPr>
    </w:p>
    <w:p>
      <w:pPr>
        <w:pStyle w:val="BodyText"/>
        <w:spacing w:before="10"/>
        <w:rPr>
          <w:sz w:val="16"/>
        </w:rPr>
      </w:pPr>
      <w:r>
        <w:rPr/>
        <w:pict>
          <v:line style="position:absolute;mso-position-horizontal-relative:page;mso-position-vertical-relative:paragraph;z-index:1112;mso-wrap-distance-left:0;mso-wrap-distance-right:0" from="28.346201pt,11.909739pt" to="544.252201pt,11.909739pt" stroked="true" strokeweight=".25pt" strokecolor="#231f20">
            <v:stroke dashstyle="solid"/>
            <w10:wrap type="topAndBottom"/>
          </v:line>
        </w:pict>
      </w:r>
    </w:p>
    <w:p>
      <w:pPr>
        <w:spacing w:after="0"/>
        <w:rPr>
          <w:sz w:val="16"/>
        </w:rPr>
        <w:sectPr>
          <w:type w:val="continuous"/>
          <w:pgSz w:w="11910" w:h="14750"/>
          <w:pgMar w:top="540" w:bottom="280" w:left="460" w:right="460"/>
        </w:sectPr>
      </w:pPr>
    </w:p>
    <w:p>
      <w:pPr>
        <w:pStyle w:val="BodyText"/>
        <w:rPr>
          <w:sz w:val="20"/>
        </w:rPr>
      </w:pPr>
      <w:r>
        <w:rPr/>
        <w:pict>
          <v:group style="position:absolute;margin-left:51.023602pt;margin-top:28.346996pt;width:515.9500pt;height:660pt;mso-position-horizontal-relative:page;mso-position-vertical-relative:page;z-index:-115048" coordorigin="1020,567" coordsize="10319,13200">
            <v:rect style="position:absolute;left:1020;top:566;width:10319;height:13200" filled="true" fillcolor="#e6e8e9" stroked="false">
              <v:fill type="solid"/>
            </v:rect>
            <v:line style="position:absolute" from="1020,2969" to="3430,2969" stroked="true" strokeweight=".25pt" strokecolor="#231f20">
              <v:stroke dashstyle="solid"/>
            </v:line>
            <v:line style="position:absolute" from="3657,2969" to="6066,2969" stroked="true" strokeweight=".25pt" strokecolor="#231f20">
              <v:stroke dashstyle="solid"/>
            </v:line>
            <v:line style="position:absolute" from="6293,2969" to="8702,2969" stroked="true" strokeweight=".25pt" strokecolor="#231f20">
              <v:stroke dashstyle="solid"/>
            </v:line>
            <v:line style="position:absolute" from="8929,2969" to="11339,2969" stroked="true" strokeweight=".25pt" strokecolor="#231f20">
              <v:stroke dashstyle="solid"/>
            </v:line>
            <w10:wrap type="none"/>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7"/>
        </w:rPr>
      </w:pPr>
    </w:p>
    <w:p>
      <w:pPr>
        <w:pStyle w:val="Heading1"/>
        <w:spacing w:line="213" w:lineRule="auto"/>
      </w:pPr>
      <w:bookmarkStart w:name="Compensation Report 2013" w:id="17"/>
      <w:bookmarkEnd w:id="17"/>
      <w:r>
        <w:rPr/>
      </w:r>
      <w:r>
        <w:rPr>
          <w:color w:val="8F999F"/>
          <w:spacing w:val="-53"/>
        </w:rPr>
        <w:t>Compensation </w:t>
      </w:r>
      <w:r>
        <w:rPr>
          <w:color w:val="8F999F"/>
          <w:spacing w:val="-36"/>
          <w:w w:val="105"/>
        </w:rPr>
        <w:t>Report</w:t>
      </w:r>
      <w:r>
        <w:rPr>
          <w:color w:val="8F999F"/>
          <w:spacing w:val="-121"/>
          <w:w w:val="105"/>
        </w:rPr>
        <w:t> </w:t>
      </w:r>
      <w:r>
        <w:rPr>
          <w:color w:val="8F999F"/>
          <w:spacing w:val="-53"/>
          <w:w w:val="105"/>
        </w:rPr>
        <w:t>2013</w:t>
      </w:r>
    </w:p>
    <w:p>
      <w:pPr>
        <w:spacing w:after="0" w:line="213" w:lineRule="auto"/>
        <w:sectPr>
          <w:headerReference w:type="default" r:id="rId85"/>
          <w:pgSz w:w="11910" w:h="14750"/>
          <w:pgMar w:header="0" w:footer="509" w:top="560" w:bottom="700" w:left="460" w:right="460"/>
        </w:sectPr>
      </w:pPr>
    </w:p>
    <w:p>
      <w:pPr>
        <w:pStyle w:val="Heading2"/>
        <w:ind w:left="106"/>
      </w:pPr>
      <w:bookmarkStart w:name="Introduction" w:id="18"/>
      <w:bookmarkEnd w:id="18"/>
      <w:r>
        <w:rPr/>
      </w:r>
      <w:bookmarkStart w:name="Changes to the compensation system " w:id="19"/>
      <w:bookmarkEnd w:id="19"/>
      <w:r>
        <w:rPr/>
      </w:r>
      <w:r>
        <w:rPr>
          <w:color w:val="0083CA"/>
        </w:rPr>
        <w:t>Compensation Report 2013</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6"/>
        </w:rPr>
      </w:pPr>
      <w:r>
        <w:rPr/>
        <w:pict>
          <v:line style="position:absolute;mso-position-horizontal-relative:page;mso-position-vertical-relative:paragraph;z-index:1328;mso-wrap-distance-left:0;mso-wrap-distance-right:0" from="28.346399pt,11.681871pt" to="148.818399pt,11.681871pt" stroked="true" strokeweight=".25pt" strokecolor="#231f20">
            <v:stroke dashstyle="solid"/>
            <w10:wrap type="topAndBottom"/>
          </v:line>
        </w:pict>
      </w:r>
      <w:r>
        <w:rPr/>
        <w:pict>
          <v:line style="position:absolute;mso-position-horizontal-relative:page;mso-position-vertical-relative:paragraph;z-index:1352;mso-wrap-distance-left:0;mso-wrap-distance-right:0" from="160.158005pt,11.681871pt" to="280.630005pt,11.681871pt" stroked="true" strokeweight=".25pt" strokecolor="#231f20">
            <v:stroke dashstyle="solid"/>
            <w10:wrap type="topAndBottom"/>
          </v:line>
        </w:pict>
      </w:r>
      <w:r>
        <w:rPr/>
        <w:pict>
          <v:line style="position:absolute;mso-position-horizontal-relative:page;mso-position-vertical-relative:paragraph;z-index:1376;mso-wrap-distance-left:0;mso-wrap-distance-right:0" from="291.967987pt,11.681871pt" to="412.439987pt,11.681871pt" stroked="true" strokeweight=".25pt" strokecolor="#231f20">
            <v:stroke dashstyle="solid"/>
            <w10:wrap type="topAndBottom"/>
          </v:line>
        </w:pict>
      </w:r>
      <w:r>
        <w:rPr/>
        <w:pict>
          <v:line style="position:absolute;mso-position-horizontal-relative:page;mso-position-vertical-relative:paragraph;z-index:1400;mso-wrap-distance-left:0;mso-wrap-distance-right:0" from="423.779999pt,11.681871pt" to="544.251999pt,11.681871pt" stroked="true" strokeweight=".25pt" strokecolor="#231f20">
            <v:stroke dashstyle="solid"/>
            <w10:wrap type="topAndBottom"/>
          </v:line>
        </w:pict>
      </w:r>
    </w:p>
    <w:p>
      <w:pPr>
        <w:pStyle w:val="BodyText"/>
        <w:spacing w:before="4"/>
        <w:rPr>
          <w:sz w:val="14"/>
        </w:rPr>
      </w:pPr>
    </w:p>
    <w:p>
      <w:pPr>
        <w:spacing w:after="0"/>
        <w:rPr>
          <w:sz w:val="14"/>
        </w:rPr>
        <w:sectPr>
          <w:headerReference w:type="even" r:id="rId86"/>
          <w:footerReference w:type="even" r:id="rId87"/>
          <w:footerReference w:type="default" r:id="rId88"/>
          <w:pgSz w:w="11910" w:h="14750"/>
          <w:pgMar w:header="0" w:footer="509" w:top="980" w:bottom="700" w:left="460" w:right="460"/>
          <w:pgNumType w:start="36"/>
        </w:sectPr>
      </w:pPr>
    </w:p>
    <w:p>
      <w:pPr>
        <w:pStyle w:val="Heading3"/>
        <w:spacing w:before="110"/>
        <w:ind w:left="106"/>
      </w:pPr>
      <w:r>
        <w:rPr>
          <w:color w:val="231F20"/>
          <w:w w:val="105"/>
        </w:rPr>
        <w:t>Introduction</w:t>
      </w:r>
    </w:p>
    <w:p>
      <w:pPr>
        <w:pStyle w:val="BodyText"/>
        <w:spacing w:line="276" w:lineRule="auto" w:before="31"/>
        <w:ind w:left="106"/>
      </w:pPr>
      <w:r>
        <w:rPr>
          <w:color w:val="231F20"/>
        </w:rPr>
        <w:t>The future success of Nestlé is dependent on its ability to attract, motivate and retain good people. Among the various programmes to support this ambition is a competitive remuneration </w:t>
      </w:r>
      <w:r>
        <w:rPr>
          <w:color w:val="231F20"/>
          <w:spacing w:val="-3"/>
        </w:rPr>
        <w:t>policy. </w:t>
      </w:r>
      <w:r>
        <w:rPr>
          <w:color w:val="231F20"/>
        </w:rPr>
        <w:t>Nestlé believes in a performance culture as well as good corporate governance and corporate social responsibility.</w:t>
      </w:r>
    </w:p>
    <w:p>
      <w:pPr>
        <w:pStyle w:val="BodyText"/>
        <w:spacing w:line="276" w:lineRule="auto"/>
        <w:ind w:left="106" w:right="129" w:firstLine="226"/>
      </w:pPr>
      <w:r>
        <w:rPr>
          <w:color w:val="231F20"/>
        </w:rPr>
        <w:t>Therefore, remuneration at Nestlé is based on the following principles:</w:t>
      </w:r>
    </w:p>
    <w:p>
      <w:pPr>
        <w:pStyle w:val="ListParagraph"/>
        <w:numPr>
          <w:ilvl w:val="0"/>
          <w:numId w:val="11"/>
        </w:numPr>
        <w:tabs>
          <w:tab w:pos="334" w:val="left" w:leader="none"/>
        </w:tabs>
        <w:spacing w:line="276" w:lineRule="auto" w:before="0" w:after="0"/>
        <w:ind w:left="333" w:right="171" w:hanging="227"/>
        <w:jc w:val="left"/>
        <w:rPr>
          <w:sz w:val="18"/>
        </w:rPr>
      </w:pPr>
      <w:r>
        <w:rPr>
          <w:color w:val="231F20"/>
          <w:sz w:val="18"/>
        </w:rPr>
        <w:t>pay for performance to support the short-term and long- term</w:t>
      </w:r>
      <w:r>
        <w:rPr>
          <w:color w:val="231F20"/>
          <w:spacing w:val="-9"/>
          <w:sz w:val="18"/>
        </w:rPr>
        <w:t> </w:t>
      </w:r>
      <w:r>
        <w:rPr>
          <w:color w:val="231F20"/>
          <w:sz w:val="18"/>
        </w:rPr>
        <w:t>objectives;</w:t>
      </w:r>
    </w:p>
    <w:p>
      <w:pPr>
        <w:pStyle w:val="ListParagraph"/>
        <w:numPr>
          <w:ilvl w:val="0"/>
          <w:numId w:val="11"/>
        </w:numPr>
        <w:tabs>
          <w:tab w:pos="334" w:val="left" w:leader="none"/>
        </w:tabs>
        <w:spacing w:line="276" w:lineRule="auto" w:before="0" w:after="0"/>
        <w:ind w:left="333" w:right="86" w:hanging="227"/>
        <w:jc w:val="left"/>
        <w:rPr>
          <w:sz w:val="18"/>
        </w:rPr>
      </w:pPr>
      <w:r>
        <w:rPr>
          <w:color w:val="231F20"/>
          <w:sz w:val="18"/>
        </w:rPr>
        <w:t>compensation aligned with long-term Group strategy and shareholders’</w:t>
      </w:r>
      <w:r>
        <w:rPr>
          <w:color w:val="231F20"/>
          <w:spacing w:val="-8"/>
          <w:sz w:val="18"/>
        </w:rPr>
        <w:t> </w:t>
      </w:r>
      <w:r>
        <w:rPr>
          <w:color w:val="231F20"/>
          <w:sz w:val="18"/>
        </w:rPr>
        <w:t>interests;</w:t>
      </w:r>
    </w:p>
    <w:p>
      <w:pPr>
        <w:pStyle w:val="ListParagraph"/>
        <w:numPr>
          <w:ilvl w:val="0"/>
          <w:numId w:val="11"/>
        </w:numPr>
        <w:tabs>
          <w:tab w:pos="334" w:val="left" w:leader="none"/>
        </w:tabs>
        <w:spacing w:line="276" w:lineRule="auto" w:before="0" w:after="0"/>
        <w:ind w:left="333" w:right="45" w:hanging="227"/>
        <w:jc w:val="left"/>
        <w:rPr>
          <w:sz w:val="18"/>
        </w:rPr>
      </w:pPr>
      <w:r>
        <w:rPr>
          <w:color w:val="231F20"/>
          <w:sz w:val="18"/>
        </w:rPr>
        <w:t>coherence in our remuneration plans and levels throughout the</w:t>
      </w:r>
      <w:r>
        <w:rPr>
          <w:color w:val="231F20"/>
          <w:spacing w:val="-8"/>
          <w:sz w:val="18"/>
        </w:rPr>
        <w:t> </w:t>
      </w:r>
      <w:r>
        <w:rPr>
          <w:color w:val="231F20"/>
          <w:sz w:val="18"/>
        </w:rPr>
        <w:t>Company;</w:t>
      </w:r>
    </w:p>
    <w:p>
      <w:pPr>
        <w:pStyle w:val="ListParagraph"/>
        <w:numPr>
          <w:ilvl w:val="0"/>
          <w:numId w:val="11"/>
        </w:numPr>
        <w:tabs>
          <w:tab w:pos="334" w:val="left" w:leader="none"/>
        </w:tabs>
        <w:spacing w:line="276" w:lineRule="auto" w:before="0" w:after="0"/>
        <w:ind w:left="333" w:right="321" w:hanging="227"/>
        <w:jc w:val="left"/>
        <w:rPr>
          <w:sz w:val="18"/>
        </w:rPr>
      </w:pPr>
      <w:r>
        <w:rPr>
          <w:color w:val="231F20"/>
          <w:sz w:val="18"/>
        </w:rPr>
        <w:t>appropriate balance of fixed and variable remuneration depending on hierarchical level to ensure a direct participation in results</w:t>
      </w:r>
      <w:r>
        <w:rPr>
          <w:color w:val="231F20"/>
          <w:spacing w:val="-23"/>
          <w:sz w:val="18"/>
        </w:rPr>
        <w:t> </w:t>
      </w:r>
      <w:r>
        <w:rPr>
          <w:color w:val="231F20"/>
          <w:sz w:val="18"/>
        </w:rPr>
        <w:t>achieved.</w:t>
      </w:r>
    </w:p>
    <w:p>
      <w:pPr>
        <w:pStyle w:val="BodyText"/>
        <w:spacing w:line="276" w:lineRule="auto"/>
        <w:ind w:left="106" w:right="129"/>
      </w:pPr>
      <w:r>
        <w:rPr>
          <w:color w:val="231F20"/>
          <w:w w:val="105"/>
        </w:rPr>
        <w:t>As in previous years, the Compensation Report shall be submitted</w:t>
      </w:r>
      <w:r>
        <w:rPr>
          <w:color w:val="231F20"/>
          <w:spacing w:val="-17"/>
          <w:w w:val="105"/>
        </w:rPr>
        <w:t> </w:t>
      </w:r>
      <w:r>
        <w:rPr>
          <w:color w:val="231F20"/>
          <w:w w:val="105"/>
        </w:rPr>
        <w:t>to</w:t>
      </w:r>
      <w:r>
        <w:rPr>
          <w:color w:val="231F20"/>
          <w:spacing w:val="-17"/>
          <w:w w:val="105"/>
        </w:rPr>
        <w:t> </w:t>
      </w:r>
      <w:r>
        <w:rPr>
          <w:color w:val="231F20"/>
          <w:w w:val="105"/>
        </w:rPr>
        <w:t>the</w:t>
      </w:r>
      <w:r>
        <w:rPr>
          <w:color w:val="231F20"/>
          <w:spacing w:val="-17"/>
          <w:w w:val="105"/>
        </w:rPr>
        <w:t> </w:t>
      </w:r>
      <w:r>
        <w:rPr>
          <w:color w:val="231F20"/>
          <w:w w:val="105"/>
        </w:rPr>
        <w:t>advisory</w:t>
      </w:r>
      <w:r>
        <w:rPr>
          <w:color w:val="231F20"/>
          <w:spacing w:val="-17"/>
          <w:w w:val="105"/>
        </w:rPr>
        <w:t> </w:t>
      </w:r>
      <w:r>
        <w:rPr>
          <w:color w:val="231F20"/>
          <w:w w:val="105"/>
        </w:rPr>
        <w:t>vote</w:t>
      </w:r>
      <w:r>
        <w:rPr>
          <w:color w:val="231F20"/>
          <w:spacing w:val="-17"/>
          <w:w w:val="105"/>
        </w:rPr>
        <w:t> </w:t>
      </w:r>
      <w:r>
        <w:rPr>
          <w:color w:val="231F20"/>
          <w:w w:val="105"/>
        </w:rPr>
        <w:t>of</w:t>
      </w:r>
      <w:r>
        <w:rPr>
          <w:color w:val="231F20"/>
          <w:spacing w:val="-17"/>
          <w:w w:val="105"/>
        </w:rPr>
        <w:t> </w:t>
      </w:r>
      <w:r>
        <w:rPr>
          <w:color w:val="231F20"/>
          <w:w w:val="105"/>
        </w:rPr>
        <w:t>the</w:t>
      </w:r>
      <w:r>
        <w:rPr>
          <w:color w:val="231F20"/>
          <w:spacing w:val="-17"/>
          <w:w w:val="105"/>
        </w:rPr>
        <w:t> </w:t>
      </w:r>
      <w:r>
        <w:rPr>
          <w:color w:val="231F20"/>
          <w:w w:val="105"/>
        </w:rPr>
        <w:t>shareholders</w:t>
      </w:r>
      <w:r>
        <w:rPr>
          <w:color w:val="231F20"/>
          <w:spacing w:val="-16"/>
          <w:w w:val="105"/>
        </w:rPr>
        <w:t> </w:t>
      </w:r>
      <w:r>
        <w:rPr>
          <w:color w:val="231F20"/>
          <w:w w:val="105"/>
        </w:rPr>
        <w:t>at</w:t>
      </w:r>
      <w:r>
        <w:rPr>
          <w:color w:val="231F20"/>
          <w:spacing w:val="-17"/>
          <w:w w:val="105"/>
        </w:rPr>
        <w:t> </w:t>
      </w:r>
      <w:r>
        <w:rPr>
          <w:color w:val="231F20"/>
          <w:w w:val="105"/>
        </w:rPr>
        <w:t>the next Annual General</w:t>
      </w:r>
      <w:r>
        <w:rPr>
          <w:color w:val="231F20"/>
          <w:spacing w:val="-19"/>
          <w:w w:val="105"/>
        </w:rPr>
        <w:t> </w:t>
      </w:r>
      <w:r>
        <w:rPr>
          <w:color w:val="231F20"/>
          <w:w w:val="105"/>
        </w:rPr>
        <w:t>Meeting.</w:t>
      </w:r>
    </w:p>
    <w:p>
      <w:pPr>
        <w:pStyle w:val="Heading3"/>
        <w:spacing w:before="109"/>
        <w:ind w:left="106"/>
      </w:pPr>
      <w:r>
        <w:rPr>
          <w:b w:val="0"/>
        </w:rPr>
        <w:br w:type="column"/>
      </w:r>
      <w:r>
        <w:rPr>
          <w:color w:val="231F20"/>
          <w:w w:val="110"/>
        </w:rPr>
        <w:t>Changes to the compensation system</w:t>
      </w:r>
    </w:p>
    <w:p>
      <w:pPr>
        <w:pStyle w:val="BodyText"/>
        <w:spacing w:line="276" w:lineRule="auto" w:before="30"/>
        <w:ind w:left="106"/>
      </w:pPr>
      <w:r>
        <w:rPr>
          <w:color w:val="231F20"/>
          <w:w w:val="105"/>
        </w:rPr>
        <w:t>The Compensation Committee has decided on the following material changes to our compensation system for 2014:</w:t>
      </w:r>
    </w:p>
    <w:p>
      <w:pPr>
        <w:pStyle w:val="ListParagraph"/>
        <w:numPr>
          <w:ilvl w:val="0"/>
          <w:numId w:val="11"/>
        </w:numPr>
        <w:tabs>
          <w:tab w:pos="334" w:val="left" w:leader="none"/>
        </w:tabs>
        <w:spacing w:line="276" w:lineRule="auto" w:before="0" w:after="0"/>
        <w:ind w:left="333" w:right="589" w:hanging="227"/>
        <w:jc w:val="left"/>
        <w:rPr>
          <w:sz w:val="18"/>
        </w:rPr>
      </w:pPr>
      <w:r>
        <w:rPr>
          <w:color w:val="231F20"/>
          <w:sz w:val="18"/>
        </w:rPr>
        <w:t>The first Performance Criterion used in the Performance Share Unit Plan, i.e. the relative Total Shareholder Return of Nestlé against an index will be modified. The STOXX Europe </w:t>
      </w:r>
      <w:r>
        <w:rPr>
          <w:color w:val="231F20"/>
          <w:spacing w:val="2"/>
          <w:sz w:val="18"/>
        </w:rPr>
        <w:t>600 </w:t>
      </w:r>
      <w:r>
        <w:rPr>
          <w:color w:val="231F20"/>
          <w:sz w:val="18"/>
        </w:rPr>
        <w:t>Food &amp; Beverage Net Return Index will be replaced by the STOXX Global 1800 Food &amp; Beverage Net Return Index. This change will result in a more balanced comparator group resulting from the inclusion of large non-European companies in the reference index. The second Performance Criterion, i.e. the growth of the underlying EPS in constant  currencies  remains unchanged.</w:t>
      </w:r>
    </w:p>
    <w:p>
      <w:pPr>
        <w:pStyle w:val="ListParagraph"/>
        <w:numPr>
          <w:ilvl w:val="0"/>
          <w:numId w:val="11"/>
        </w:numPr>
        <w:tabs>
          <w:tab w:pos="334" w:val="left" w:leader="none"/>
        </w:tabs>
        <w:spacing w:line="276" w:lineRule="auto" w:before="0" w:after="0"/>
        <w:ind w:left="333" w:right="616" w:hanging="227"/>
        <w:jc w:val="left"/>
        <w:rPr>
          <w:sz w:val="18"/>
        </w:rPr>
      </w:pPr>
      <w:r>
        <w:rPr>
          <w:color w:val="231F20"/>
          <w:sz w:val="18"/>
        </w:rPr>
        <w:t>The Restricted Stock Unit Plan (RSUP) will be replaced by the Performance Share Unit Plan (PSUP). Consequently,  all Long-Term Incentive Plans at Nestlé will have performance</w:t>
      </w:r>
      <w:r>
        <w:rPr>
          <w:color w:val="231F20"/>
          <w:spacing w:val="-8"/>
          <w:sz w:val="18"/>
        </w:rPr>
        <w:t> </w:t>
      </w:r>
      <w:r>
        <w:rPr>
          <w:color w:val="231F20"/>
          <w:sz w:val="18"/>
        </w:rPr>
        <w:t>criteria.</w:t>
      </w:r>
    </w:p>
    <w:p>
      <w:pPr>
        <w:spacing w:after="0" w:line="276" w:lineRule="auto"/>
        <w:jc w:val="left"/>
        <w:rPr>
          <w:sz w:val="18"/>
        </w:rPr>
        <w:sectPr>
          <w:type w:val="continuous"/>
          <w:pgSz w:w="11910" w:h="14750"/>
          <w:pgMar w:top="540" w:bottom="280" w:left="460" w:right="460"/>
          <w:cols w:num="2" w:equalWidth="0">
            <w:col w:w="5193" w:space="79"/>
            <w:col w:w="5718"/>
          </w:cols>
        </w:sectPr>
      </w:pPr>
    </w:p>
    <w:p>
      <w:pPr>
        <w:pStyle w:val="BodyText"/>
        <w:rPr>
          <w:sz w:val="20"/>
        </w:rPr>
      </w:pPr>
    </w:p>
    <w:p>
      <w:pPr>
        <w:pStyle w:val="BodyText"/>
        <w:rPr>
          <w:sz w:val="20"/>
        </w:rPr>
      </w:pPr>
    </w:p>
    <w:p>
      <w:pPr>
        <w:pStyle w:val="BodyText"/>
        <w:spacing w:before="9"/>
        <w:rPr>
          <w:sz w:val="15"/>
        </w:rPr>
      </w:pPr>
    </w:p>
    <w:p>
      <w:pPr>
        <w:pStyle w:val="Heading3"/>
        <w:spacing w:before="108"/>
      </w:pPr>
      <w:bookmarkStart w:name="Governance" w:id="20"/>
      <w:bookmarkEnd w:id="20"/>
      <w:r>
        <w:rPr>
          <w:b w:val="0"/>
        </w:rPr>
      </w:r>
      <w:bookmarkStart w:name="Compensation Committee (CC)" w:id="21"/>
      <w:bookmarkEnd w:id="21"/>
      <w:r>
        <w:rPr>
          <w:b w:val="0"/>
        </w:rPr>
      </w:r>
      <w:bookmarkStart w:name="Principles of compensation for the membe" w:id="22"/>
      <w:bookmarkEnd w:id="22"/>
      <w:r>
        <w:rPr>
          <w:b w:val="0"/>
        </w:rPr>
      </w:r>
      <w:bookmarkStart w:name="Compensation 2013 for the members of the" w:id="23"/>
      <w:bookmarkEnd w:id="23"/>
      <w:r>
        <w:rPr>
          <w:b w:val="0"/>
        </w:rPr>
      </w:r>
      <w:r>
        <w:rPr>
          <w:color w:val="231F20"/>
          <w:w w:val="110"/>
        </w:rPr>
        <w:t>Governance</w:t>
      </w:r>
    </w:p>
    <w:p>
      <w:pPr>
        <w:pStyle w:val="BodyText"/>
        <w:spacing w:before="31"/>
        <w:ind w:left="560"/>
      </w:pPr>
      <w:r>
        <w:rPr>
          <w:color w:val="231F20"/>
        </w:rPr>
        <w:t>The Board of Directors has the overall responsibility for defining the compensation principles used in the Group.</w:t>
      </w:r>
    </w:p>
    <w:p>
      <w:pPr>
        <w:pStyle w:val="BodyText"/>
        <w:spacing w:line="276" w:lineRule="auto" w:before="31"/>
        <w:ind w:left="560" w:right="1412"/>
        <w:jc w:val="both"/>
      </w:pPr>
      <w:r>
        <w:rPr>
          <w:color w:val="231F20"/>
        </w:rPr>
        <w:t>It approves the compensation of the members of the Board, its Chairman, the CEO and the Executive Board   as a whole. As from </w:t>
      </w:r>
      <w:r>
        <w:rPr>
          <w:color w:val="231F20"/>
          <w:spacing w:val="-4"/>
        </w:rPr>
        <w:t>2015, </w:t>
      </w:r>
      <w:r>
        <w:rPr>
          <w:color w:val="231F20"/>
        </w:rPr>
        <w:t>the total compensation of the Board and Executive Board will be approved by the shareholders.</w:t>
      </w:r>
    </w:p>
    <w:p>
      <w:pPr>
        <w:pStyle w:val="BodyText"/>
        <w:spacing w:line="276" w:lineRule="auto"/>
        <w:ind w:left="560" w:right="1085" w:firstLine="226"/>
      </w:pPr>
      <w:r>
        <w:rPr>
          <w:color w:val="231F20"/>
          <w:w w:val="105"/>
        </w:rPr>
        <w:t>As</w:t>
      </w:r>
      <w:r>
        <w:rPr>
          <w:color w:val="231F20"/>
          <w:spacing w:val="-9"/>
          <w:w w:val="105"/>
        </w:rPr>
        <w:t> </w:t>
      </w:r>
      <w:r>
        <w:rPr>
          <w:color w:val="231F20"/>
          <w:w w:val="105"/>
        </w:rPr>
        <w:t>of</w:t>
      </w:r>
      <w:r>
        <w:rPr>
          <w:color w:val="231F20"/>
          <w:spacing w:val="-8"/>
          <w:w w:val="105"/>
        </w:rPr>
        <w:t> </w:t>
      </w:r>
      <w:r>
        <w:rPr>
          <w:color w:val="231F20"/>
          <w:spacing w:val="-3"/>
          <w:w w:val="105"/>
        </w:rPr>
        <w:t>31</w:t>
      </w:r>
      <w:r>
        <w:rPr>
          <w:color w:val="231F20"/>
          <w:spacing w:val="-8"/>
          <w:w w:val="105"/>
        </w:rPr>
        <w:t> </w:t>
      </w:r>
      <w:r>
        <w:rPr>
          <w:color w:val="231F20"/>
          <w:w w:val="105"/>
        </w:rPr>
        <w:t>December,</w:t>
      </w:r>
      <w:r>
        <w:rPr>
          <w:color w:val="231F20"/>
          <w:spacing w:val="-8"/>
          <w:w w:val="105"/>
        </w:rPr>
        <w:t> </w:t>
      </w:r>
      <w:r>
        <w:rPr>
          <w:color w:val="231F20"/>
          <w:w w:val="105"/>
        </w:rPr>
        <w:t>the</w:t>
      </w:r>
      <w:r>
        <w:rPr>
          <w:color w:val="231F20"/>
          <w:spacing w:val="-8"/>
          <w:w w:val="105"/>
        </w:rPr>
        <w:t> </w:t>
      </w:r>
      <w:r>
        <w:rPr>
          <w:color w:val="231F20"/>
          <w:w w:val="105"/>
        </w:rPr>
        <w:t>governance</w:t>
      </w:r>
      <w:r>
        <w:rPr>
          <w:color w:val="231F20"/>
          <w:spacing w:val="-9"/>
          <w:w w:val="105"/>
        </w:rPr>
        <w:t> </w:t>
      </w:r>
      <w:r>
        <w:rPr>
          <w:color w:val="231F20"/>
          <w:w w:val="105"/>
        </w:rPr>
        <w:t>for</w:t>
      </w:r>
      <w:r>
        <w:rPr>
          <w:color w:val="231F20"/>
          <w:spacing w:val="-8"/>
          <w:w w:val="105"/>
        </w:rPr>
        <w:t> </w:t>
      </w:r>
      <w:r>
        <w:rPr>
          <w:color w:val="231F20"/>
          <w:w w:val="105"/>
        </w:rPr>
        <w:t>setting</w:t>
      </w:r>
      <w:r>
        <w:rPr>
          <w:color w:val="231F20"/>
          <w:spacing w:val="-8"/>
          <w:w w:val="105"/>
        </w:rPr>
        <w:t> </w:t>
      </w:r>
      <w:r>
        <w:rPr>
          <w:color w:val="231F20"/>
          <w:w w:val="105"/>
        </w:rPr>
        <w:t>the</w:t>
      </w:r>
      <w:r>
        <w:rPr>
          <w:color w:val="231F20"/>
          <w:spacing w:val="-8"/>
          <w:w w:val="105"/>
        </w:rPr>
        <w:t> </w:t>
      </w:r>
      <w:r>
        <w:rPr>
          <w:color w:val="231F20"/>
          <w:w w:val="105"/>
        </w:rPr>
        <w:t>compensation</w:t>
      </w:r>
      <w:r>
        <w:rPr>
          <w:color w:val="231F20"/>
          <w:spacing w:val="-8"/>
          <w:w w:val="105"/>
        </w:rPr>
        <w:t> </w:t>
      </w:r>
      <w:r>
        <w:rPr>
          <w:color w:val="231F20"/>
          <w:w w:val="105"/>
        </w:rPr>
        <w:t>of</w:t>
      </w:r>
      <w:r>
        <w:rPr>
          <w:color w:val="231F20"/>
          <w:spacing w:val="-8"/>
          <w:w w:val="105"/>
        </w:rPr>
        <w:t> </w:t>
      </w:r>
      <w:r>
        <w:rPr>
          <w:color w:val="231F20"/>
          <w:w w:val="105"/>
        </w:rPr>
        <w:t>the</w:t>
      </w:r>
      <w:r>
        <w:rPr>
          <w:color w:val="231F20"/>
          <w:spacing w:val="-9"/>
          <w:w w:val="105"/>
        </w:rPr>
        <w:t> </w:t>
      </w:r>
      <w:r>
        <w:rPr>
          <w:color w:val="231F20"/>
          <w:w w:val="105"/>
        </w:rPr>
        <w:t>members</w:t>
      </w:r>
      <w:r>
        <w:rPr>
          <w:color w:val="231F20"/>
          <w:spacing w:val="-8"/>
          <w:w w:val="105"/>
        </w:rPr>
        <w:t> </w:t>
      </w:r>
      <w:r>
        <w:rPr>
          <w:color w:val="231F20"/>
          <w:w w:val="105"/>
        </w:rPr>
        <w:t>of</w:t>
      </w:r>
      <w:r>
        <w:rPr>
          <w:color w:val="231F20"/>
          <w:spacing w:val="-8"/>
          <w:w w:val="105"/>
        </w:rPr>
        <w:t> </w:t>
      </w:r>
      <w:r>
        <w:rPr>
          <w:color w:val="231F20"/>
          <w:w w:val="105"/>
        </w:rPr>
        <w:t>the</w:t>
      </w:r>
      <w:r>
        <w:rPr>
          <w:color w:val="231F20"/>
          <w:spacing w:val="-8"/>
          <w:w w:val="105"/>
        </w:rPr>
        <w:t> </w:t>
      </w:r>
      <w:r>
        <w:rPr>
          <w:color w:val="231F20"/>
          <w:w w:val="105"/>
        </w:rPr>
        <w:t>Board</w:t>
      </w:r>
      <w:r>
        <w:rPr>
          <w:color w:val="231F20"/>
          <w:spacing w:val="-8"/>
          <w:w w:val="105"/>
        </w:rPr>
        <w:t> </w:t>
      </w:r>
      <w:r>
        <w:rPr>
          <w:color w:val="231F20"/>
          <w:w w:val="105"/>
        </w:rPr>
        <w:t>of</w:t>
      </w:r>
      <w:r>
        <w:rPr>
          <w:color w:val="231F20"/>
          <w:spacing w:val="-9"/>
          <w:w w:val="105"/>
        </w:rPr>
        <w:t> </w:t>
      </w:r>
      <w:r>
        <w:rPr>
          <w:color w:val="231F20"/>
          <w:w w:val="105"/>
        </w:rPr>
        <w:t>Directors and</w:t>
      </w:r>
      <w:r>
        <w:rPr>
          <w:color w:val="231F20"/>
          <w:spacing w:val="-7"/>
          <w:w w:val="105"/>
        </w:rPr>
        <w:t> </w:t>
      </w:r>
      <w:r>
        <w:rPr>
          <w:color w:val="231F20"/>
          <w:w w:val="105"/>
        </w:rPr>
        <w:t>the</w:t>
      </w:r>
      <w:r>
        <w:rPr>
          <w:color w:val="231F20"/>
          <w:spacing w:val="-6"/>
          <w:w w:val="105"/>
        </w:rPr>
        <w:t> </w:t>
      </w:r>
      <w:r>
        <w:rPr>
          <w:color w:val="231F20"/>
          <w:w w:val="105"/>
        </w:rPr>
        <w:t>Executive</w:t>
      </w:r>
      <w:r>
        <w:rPr>
          <w:color w:val="231F20"/>
          <w:spacing w:val="-6"/>
          <w:w w:val="105"/>
        </w:rPr>
        <w:t> </w:t>
      </w:r>
      <w:r>
        <w:rPr>
          <w:color w:val="231F20"/>
          <w:w w:val="105"/>
        </w:rPr>
        <w:t>Board</w:t>
      </w:r>
      <w:r>
        <w:rPr>
          <w:color w:val="231F20"/>
          <w:spacing w:val="-6"/>
          <w:w w:val="105"/>
        </w:rPr>
        <w:t> </w:t>
      </w:r>
      <w:r>
        <w:rPr>
          <w:color w:val="231F20"/>
          <w:w w:val="105"/>
        </w:rPr>
        <w:t>is</w:t>
      </w:r>
      <w:r>
        <w:rPr>
          <w:color w:val="231F20"/>
          <w:spacing w:val="-6"/>
          <w:w w:val="105"/>
        </w:rPr>
        <w:t> </w:t>
      </w:r>
      <w:r>
        <w:rPr>
          <w:color w:val="231F20"/>
          <w:w w:val="105"/>
        </w:rPr>
        <w:t>defined</w:t>
      </w:r>
      <w:r>
        <w:rPr>
          <w:color w:val="231F20"/>
          <w:spacing w:val="-6"/>
          <w:w w:val="105"/>
        </w:rPr>
        <w:t> </w:t>
      </w:r>
      <w:r>
        <w:rPr>
          <w:color w:val="231F20"/>
          <w:w w:val="105"/>
        </w:rPr>
        <w:t>as</w:t>
      </w:r>
      <w:r>
        <w:rPr>
          <w:color w:val="231F20"/>
          <w:spacing w:val="-7"/>
          <w:w w:val="105"/>
        </w:rPr>
        <w:t> </w:t>
      </w:r>
      <w:r>
        <w:rPr>
          <w:color w:val="231F20"/>
          <w:w w:val="105"/>
        </w:rPr>
        <w:t>follows:</w:t>
      </w:r>
    </w:p>
    <w:p>
      <w:pPr>
        <w:pStyle w:val="BodyText"/>
        <w:spacing w:before="5"/>
        <w:rPr>
          <w:sz w:val="15"/>
        </w:rPr>
      </w:pPr>
      <w:r>
        <w:rPr/>
        <w:pict>
          <v:line style="position:absolute;mso-position-horizontal-relative:page;mso-position-vertical-relative:paragraph;z-index:1424;mso-wrap-distance-left:0;mso-wrap-distance-right:0" from="51.023602pt,11.065834pt" to="566.929602pt,11.065834pt" stroked="true" strokeweight=".25pt" strokecolor="#231f20">
            <v:stroke dashstyle="solid"/>
            <w10:wrap type="topAndBottom"/>
          </v:line>
        </w:pict>
      </w:r>
    </w:p>
    <w:p>
      <w:pPr>
        <w:pStyle w:val="BodyText"/>
        <w:spacing w:before="8"/>
        <w:rPr>
          <w:sz w:val="21"/>
        </w:rPr>
      </w:pPr>
    </w:p>
    <w:tbl>
      <w:tblPr>
        <w:tblW w:w="0" w:type="auto"/>
        <w:jc w:val="left"/>
        <w:tblInd w:w="5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700"/>
        <w:gridCol w:w="2870"/>
        <w:gridCol w:w="2748"/>
      </w:tblGrid>
      <w:tr>
        <w:trPr>
          <w:trHeight w:val="192" w:hRule="atLeast"/>
        </w:trPr>
        <w:tc>
          <w:tcPr>
            <w:tcW w:w="4700" w:type="dxa"/>
            <w:tcBorders>
              <w:bottom w:val="single" w:sz="2" w:space="0" w:color="231F20"/>
            </w:tcBorders>
          </w:tcPr>
          <w:p>
            <w:pPr>
              <w:pStyle w:val="TableParagraph"/>
              <w:spacing w:before="1"/>
              <w:rPr>
                <w:sz w:val="15"/>
              </w:rPr>
            </w:pPr>
            <w:r>
              <w:rPr>
                <w:color w:val="231F20"/>
                <w:sz w:val="15"/>
              </w:rPr>
              <w:t>Compensation of</w:t>
            </w:r>
          </w:p>
        </w:tc>
        <w:tc>
          <w:tcPr>
            <w:tcW w:w="2870" w:type="dxa"/>
            <w:tcBorders>
              <w:bottom w:val="single" w:sz="2" w:space="0" w:color="231F20"/>
            </w:tcBorders>
          </w:tcPr>
          <w:p>
            <w:pPr>
              <w:pStyle w:val="TableParagraph"/>
              <w:spacing w:before="1"/>
              <w:ind w:left="572"/>
              <w:rPr>
                <w:sz w:val="15"/>
              </w:rPr>
            </w:pPr>
            <w:r>
              <w:rPr>
                <w:color w:val="231F20"/>
                <w:w w:val="105"/>
                <w:sz w:val="15"/>
              </w:rPr>
              <w:t>Recommended by</w:t>
            </w:r>
          </w:p>
        </w:tc>
        <w:tc>
          <w:tcPr>
            <w:tcW w:w="2748" w:type="dxa"/>
            <w:tcBorders>
              <w:bottom w:val="single" w:sz="2" w:space="0" w:color="231F20"/>
            </w:tcBorders>
          </w:tcPr>
          <w:p>
            <w:pPr>
              <w:pStyle w:val="TableParagraph"/>
              <w:spacing w:before="1"/>
              <w:ind w:left="338"/>
              <w:rPr>
                <w:sz w:val="15"/>
              </w:rPr>
            </w:pPr>
            <w:r>
              <w:rPr>
                <w:color w:val="231F20"/>
                <w:w w:val="105"/>
                <w:sz w:val="15"/>
              </w:rPr>
              <w:t>Approved by</w:t>
            </w:r>
          </w:p>
        </w:tc>
      </w:tr>
      <w:tr>
        <w:trPr>
          <w:trHeight w:val="235" w:hRule="atLeast"/>
        </w:trPr>
        <w:tc>
          <w:tcPr>
            <w:tcW w:w="4700" w:type="dxa"/>
            <w:tcBorders>
              <w:top w:val="single" w:sz="2" w:space="0" w:color="231F20"/>
              <w:bottom w:val="single" w:sz="2" w:space="0" w:color="8F999F"/>
            </w:tcBorders>
          </w:tcPr>
          <w:p>
            <w:pPr>
              <w:pStyle w:val="TableParagraph"/>
              <w:rPr>
                <w:sz w:val="15"/>
              </w:rPr>
            </w:pPr>
            <w:r>
              <w:rPr>
                <w:color w:val="231F20"/>
                <w:sz w:val="15"/>
              </w:rPr>
              <w:t>Chairman of the Board, CEO and Executive Board as a whole</w:t>
            </w:r>
          </w:p>
        </w:tc>
        <w:tc>
          <w:tcPr>
            <w:tcW w:w="2870" w:type="dxa"/>
            <w:tcBorders>
              <w:top w:val="single" w:sz="2" w:space="0" w:color="231F20"/>
              <w:bottom w:val="single" w:sz="2" w:space="0" w:color="8F999F"/>
            </w:tcBorders>
          </w:tcPr>
          <w:p>
            <w:pPr>
              <w:pStyle w:val="TableParagraph"/>
              <w:ind w:left="572"/>
              <w:rPr>
                <w:sz w:val="15"/>
              </w:rPr>
            </w:pPr>
            <w:r>
              <w:rPr>
                <w:color w:val="231F20"/>
                <w:sz w:val="15"/>
              </w:rPr>
              <w:t>Compensation Committee</w:t>
            </w:r>
          </w:p>
        </w:tc>
        <w:tc>
          <w:tcPr>
            <w:tcW w:w="2748" w:type="dxa"/>
            <w:tcBorders>
              <w:top w:val="single" w:sz="2" w:space="0" w:color="231F20"/>
              <w:bottom w:val="single" w:sz="2" w:space="0" w:color="8F999F"/>
            </w:tcBorders>
          </w:tcPr>
          <w:p>
            <w:pPr>
              <w:pStyle w:val="TableParagraph"/>
              <w:ind w:left="338"/>
              <w:rPr>
                <w:sz w:val="10"/>
              </w:rPr>
            </w:pPr>
            <w:r>
              <w:rPr>
                <w:color w:val="231F20"/>
                <w:sz w:val="15"/>
              </w:rPr>
              <w:t>Board of Directors </w:t>
            </w:r>
            <w:r>
              <w:rPr>
                <w:color w:val="231F20"/>
                <w:position w:val="4"/>
                <w:sz w:val="10"/>
              </w:rPr>
              <w:t>(a)</w:t>
            </w:r>
          </w:p>
        </w:tc>
      </w:tr>
      <w:tr>
        <w:trPr>
          <w:trHeight w:val="235" w:hRule="atLeast"/>
        </w:trPr>
        <w:tc>
          <w:tcPr>
            <w:tcW w:w="4700" w:type="dxa"/>
            <w:tcBorders>
              <w:top w:val="single" w:sz="2" w:space="0" w:color="8F999F"/>
              <w:bottom w:val="single" w:sz="2" w:space="0" w:color="8F999F"/>
            </w:tcBorders>
          </w:tcPr>
          <w:p>
            <w:pPr>
              <w:pStyle w:val="TableParagraph"/>
              <w:rPr>
                <w:sz w:val="15"/>
              </w:rPr>
            </w:pPr>
            <w:r>
              <w:rPr>
                <w:color w:val="231F20"/>
                <w:sz w:val="15"/>
              </w:rPr>
              <w:t>Non-executive members of the Board of Directors</w:t>
            </w:r>
          </w:p>
        </w:tc>
        <w:tc>
          <w:tcPr>
            <w:tcW w:w="2870" w:type="dxa"/>
            <w:tcBorders>
              <w:top w:val="single" w:sz="2" w:space="0" w:color="8F999F"/>
              <w:bottom w:val="single" w:sz="2" w:space="0" w:color="8F999F"/>
            </w:tcBorders>
          </w:tcPr>
          <w:p>
            <w:pPr>
              <w:pStyle w:val="TableParagraph"/>
              <w:ind w:left="572"/>
              <w:rPr>
                <w:sz w:val="15"/>
              </w:rPr>
            </w:pPr>
            <w:r>
              <w:rPr>
                <w:color w:val="231F20"/>
                <w:sz w:val="15"/>
              </w:rPr>
              <w:t>Compensation Committee</w:t>
            </w:r>
          </w:p>
        </w:tc>
        <w:tc>
          <w:tcPr>
            <w:tcW w:w="2748" w:type="dxa"/>
            <w:tcBorders>
              <w:top w:val="single" w:sz="2" w:space="0" w:color="8F999F"/>
              <w:bottom w:val="single" w:sz="2" w:space="0" w:color="8F999F"/>
            </w:tcBorders>
          </w:tcPr>
          <w:p>
            <w:pPr>
              <w:pStyle w:val="TableParagraph"/>
              <w:ind w:left="338"/>
              <w:rPr>
                <w:sz w:val="10"/>
              </w:rPr>
            </w:pPr>
            <w:r>
              <w:rPr>
                <w:color w:val="231F20"/>
                <w:sz w:val="15"/>
              </w:rPr>
              <w:t>Board of Directors </w:t>
            </w:r>
            <w:r>
              <w:rPr>
                <w:color w:val="231F20"/>
                <w:position w:val="4"/>
                <w:sz w:val="10"/>
              </w:rPr>
              <w:t>(b)</w:t>
            </w:r>
          </w:p>
        </w:tc>
      </w:tr>
      <w:tr>
        <w:trPr>
          <w:trHeight w:val="235" w:hRule="atLeast"/>
        </w:trPr>
        <w:tc>
          <w:tcPr>
            <w:tcW w:w="4700" w:type="dxa"/>
            <w:tcBorders>
              <w:top w:val="single" w:sz="2" w:space="0" w:color="8F999F"/>
              <w:bottom w:val="single" w:sz="2" w:space="0" w:color="8F999F"/>
            </w:tcBorders>
          </w:tcPr>
          <w:p>
            <w:pPr>
              <w:pStyle w:val="TableParagraph"/>
              <w:rPr>
                <w:sz w:val="15"/>
              </w:rPr>
            </w:pPr>
            <w:r>
              <w:rPr>
                <w:color w:val="231F20"/>
                <w:sz w:val="15"/>
              </w:rPr>
              <w:t>Members of the Executive Board</w:t>
            </w:r>
          </w:p>
        </w:tc>
        <w:tc>
          <w:tcPr>
            <w:tcW w:w="2870" w:type="dxa"/>
            <w:tcBorders>
              <w:top w:val="single" w:sz="2" w:space="0" w:color="8F999F"/>
              <w:bottom w:val="single" w:sz="2" w:space="0" w:color="8F999F"/>
            </w:tcBorders>
          </w:tcPr>
          <w:p>
            <w:pPr>
              <w:pStyle w:val="TableParagraph"/>
              <w:ind w:left="572"/>
              <w:rPr>
                <w:sz w:val="15"/>
              </w:rPr>
            </w:pPr>
            <w:r>
              <w:rPr>
                <w:color w:val="231F20"/>
                <w:sz w:val="15"/>
              </w:rPr>
              <w:t>CEO together with Chairman</w:t>
            </w:r>
          </w:p>
        </w:tc>
        <w:tc>
          <w:tcPr>
            <w:tcW w:w="2748" w:type="dxa"/>
            <w:tcBorders>
              <w:top w:val="single" w:sz="2" w:space="0" w:color="8F999F"/>
              <w:bottom w:val="single" w:sz="2" w:space="0" w:color="8F999F"/>
            </w:tcBorders>
          </w:tcPr>
          <w:p>
            <w:pPr>
              <w:pStyle w:val="TableParagraph"/>
              <w:ind w:left="338"/>
              <w:rPr>
                <w:sz w:val="15"/>
              </w:rPr>
            </w:pPr>
            <w:r>
              <w:rPr>
                <w:color w:val="231F20"/>
                <w:sz w:val="15"/>
              </w:rPr>
              <w:t>Compensation Committee</w:t>
            </w:r>
          </w:p>
        </w:tc>
      </w:tr>
    </w:tbl>
    <w:p>
      <w:pPr>
        <w:pStyle w:val="BodyText"/>
        <w:spacing w:before="1"/>
        <w:rPr>
          <w:sz w:val="17"/>
        </w:rPr>
      </w:pPr>
    </w:p>
    <w:p>
      <w:pPr>
        <w:pStyle w:val="ListParagraph"/>
        <w:numPr>
          <w:ilvl w:val="0"/>
          <w:numId w:val="14"/>
        </w:numPr>
        <w:tabs>
          <w:tab w:pos="788" w:val="left" w:leader="none"/>
        </w:tabs>
        <w:spacing w:line="240" w:lineRule="auto" w:before="101" w:after="0"/>
        <w:ind w:left="787" w:right="0" w:hanging="227"/>
        <w:jc w:val="left"/>
        <w:rPr>
          <w:sz w:val="13"/>
        </w:rPr>
      </w:pPr>
      <w:r>
        <w:rPr>
          <w:color w:val="586670"/>
          <w:sz w:val="13"/>
        </w:rPr>
        <w:t>Chairman</w:t>
      </w:r>
      <w:r>
        <w:rPr>
          <w:color w:val="586670"/>
          <w:spacing w:val="-7"/>
          <w:sz w:val="13"/>
        </w:rPr>
        <w:t> </w:t>
      </w:r>
      <w:r>
        <w:rPr>
          <w:color w:val="586670"/>
          <w:sz w:val="13"/>
        </w:rPr>
        <w:t>as</w:t>
      </w:r>
      <w:r>
        <w:rPr>
          <w:color w:val="586670"/>
          <w:spacing w:val="-6"/>
          <w:sz w:val="13"/>
        </w:rPr>
        <w:t> </w:t>
      </w:r>
      <w:r>
        <w:rPr>
          <w:color w:val="586670"/>
          <w:sz w:val="13"/>
        </w:rPr>
        <w:t>well</w:t>
      </w:r>
      <w:r>
        <w:rPr>
          <w:color w:val="586670"/>
          <w:spacing w:val="-7"/>
          <w:sz w:val="13"/>
        </w:rPr>
        <w:t> </w:t>
      </w:r>
      <w:r>
        <w:rPr>
          <w:color w:val="586670"/>
          <w:sz w:val="13"/>
        </w:rPr>
        <w:t>as</w:t>
      </w:r>
      <w:r>
        <w:rPr>
          <w:color w:val="586670"/>
          <w:spacing w:val="-6"/>
          <w:sz w:val="13"/>
        </w:rPr>
        <w:t> </w:t>
      </w:r>
      <w:r>
        <w:rPr>
          <w:color w:val="586670"/>
          <w:sz w:val="13"/>
        </w:rPr>
        <w:t>CEO</w:t>
      </w:r>
      <w:r>
        <w:rPr>
          <w:color w:val="586670"/>
          <w:spacing w:val="-6"/>
          <w:sz w:val="13"/>
        </w:rPr>
        <w:t> </w:t>
      </w:r>
      <w:r>
        <w:rPr>
          <w:color w:val="586670"/>
          <w:sz w:val="13"/>
        </w:rPr>
        <w:t>not</w:t>
      </w:r>
      <w:r>
        <w:rPr>
          <w:color w:val="586670"/>
          <w:spacing w:val="-7"/>
          <w:sz w:val="13"/>
        </w:rPr>
        <w:t> </w:t>
      </w:r>
      <w:r>
        <w:rPr>
          <w:color w:val="586670"/>
          <w:sz w:val="13"/>
        </w:rPr>
        <w:t>voting</w:t>
      </w:r>
      <w:r>
        <w:rPr>
          <w:color w:val="586670"/>
          <w:spacing w:val="-6"/>
          <w:sz w:val="13"/>
        </w:rPr>
        <w:t> </w:t>
      </w:r>
      <w:r>
        <w:rPr>
          <w:color w:val="586670"/>
          <w:sz w:val="13"/>
        </w:rPr>
        <w:t>on</w:t>
      </w:r>
      <w:r>
        <w:rPr>
          <w:color w:val="586670"/>
          <w:spacing w:val="-6"/>
          <w:sz w:val="13"/>
        </w:rPr>
        <w:t> </w:t>
      </w:r>
      <w:r>
        <w:rPr>
          <w:color w:val="586670"/>
          <w:sz w:val="13"/>
        </w:rPr>
        <w:t>own</w:t>
      </w:r>
      <w:r>
        <w:rPr>
          <w:color w:val="586670"/>
          <w:spacing w:val="-7"/>
          <w:sz w:val="13"/>
        </w:rPr>
        <w:t> </w:t>
      </w:r>
      <w:r>
        <w:rPr>
          <w:color w:val="586670"/>
          <w:sz w:val="13"/>
        </w:rPr>
        <w:t>compensation.</w:t>
      </w:r>
    </w:p>
    <w:p>
      <w:pPr>
        <w:pStyle w:val="ListParagraph"/>
        <w:numPr>
          <w:ilvl w:val="0"/>
          <w:numId w:val="14"/>
        </w:numPr>
        <w:tabs>
          <w:tab w:pos="788" w:val="left" w:leader="none"/>
        </w:tabs>
        <w:spacing w:line="240" w:lineRule="auto" w:before="9" w:after="0"/>
        <w:ind w:left="787" w:right="0" w:hanging="227"/>
        <w:jc w:val="left"/>
        <w:rPr>
          <w:sz w:val="13"/>
        </w:rPr>
      </w:pPr>
      <w:r>
        <w:rPr>
          <w:color w:val="586670"/>
          <w:sz w:val="13"/>
        </w:rPr>
        <w:t>Members</w:t>
      </w:r>
      <w:r>
        <w:rPr>
          <w:color w:val="586670"/>
          <w:spacing w:val="-7"/>
          <w:sz w:val="13"/>
        </w:rPr>
        <w:t> </w:t>
      </w:r>
      <w:r>
        <w:rPr>
          <w:color w:val="586670"/>
          <w:sz w:val="13"/>
        </w:rPr>
        <w:t>not</w:t>
      </w:r>
      <w:r>
        <w:rPr>
          <w:color w:val="586670"/>
          <w:spacing w:val="-6"/>
          <w:sz w:val="13"/>
        </w:rPr>
        <w:t> </w:t>
      </w:r>
      <w:r>
        <w:rPr>
          <w:color w:val="586670"/>
          <w:sz w:val="13"/>
        </w:rPr>
        <w:t>voting</w:t>
      </w:r>
      <w:r>
        <w:rPr>
          <w:color w:val="586670"/>
          <w:spacing w:val="-6"/>
          <w:sz w:val="13"/>
        </w:rPr>
        <w:t> </w:t>
      </w:r>
      <w:r>
        <w:rPr>
          <w:color w:val="586670"/>
          <w:sz w:val="13"/>
        </w:rPr>
        <w:t>on</w:t>
      </w:r>
      <w:r>
        <w:rPr>
          <w:color w:val="586670"/>
          <w:spacing w:val="-6"/>
          <w:sz w:val="13"/>
        </w:rPr>
        <w:t> </w:t>
      </w:r>
      <w:r>
        <w:rPr>
          <w:color w:val="586670"/>
          <w:sz w:val="13"/>
        </w:rPr>
        <w:t>own</w:t>
      </w:r>
      <w:r>
        <w:rPr>
          <w:color w:val="586670"/>
          <w:spacing w:val="-6"/>
          <w:sz w:val="13"/>
        </w:rPr>
        <w:t> </w:t>
      </w:r>
      <w:r>
        <w:rPr>
          <w:color w:val="586670"/>
          <w:sz w:val="13"/>
        </w:rPr>
        <w:t>compensation</w:t>
      </w:r>
      <w:r>
        <w:rPr>
          <w:color w:val="586670"/>
          <w:spacing w:val="-6"/>
          <w:sz w:val="13"/>
        </w:rPr>
        <w:t> </w:t>
      </w:r>
      <w:r>
        <w:rPr>
          <w:color w:val="586670"/>
          <w:sz w:val="13"/>
        </w:rPr>
        <w:t>to</w:t>
      </w:r>
      <w:r>
        <w:rPr>
          <w:color w:val="586670"/>
          <w:spacing w:val="-6"/>
          <w:sz w:val="13"/>
        </w:rPr>
        <w:t> </w:t>
      </w:r>
      <w:r>
        <w:rPr>
          <w:color w:val="586670"/>
          <w:sz w:val="13"/>
        </w:rPr>
        <w:t>the</w:t>
      </w:r>
      <w:r>
        <w:rPr>
          <w:color w:val="586670"/>
          <w:spacing w:val="-6"/>
          <w:sz w:val="13"/>
        </w:rPr>
        <w:t> </w:t>
      </w:r>
      <w:r>
        <w:rPr>
          <w:color w:val="586670"/>
          <w:sz w:val="13"/>
        </w:rPr>
        <w:t>extent</w:t>
      </w:r>
      <w:r>
        <w:rPr>
          <w:color w:val="586670"/>
          <w:spacing w:val="-7"/>
          <w:sz w:val="13"/>
        </w:rPr>
        <w:t> </w:t>
      </w:r>
      <w:r>
        <w:rPr>
          <w:color w:val="586670"/>
          <w:sz w:val="13"/>
        </w:rPr>
        <w:t>that</w:t>
      </w:r>
      <w:r>
        <w:rPr>
          <w:color w:val="586670"/>
          <w:spacing w:val="-6"/>
          <w:sz w:val="13"/>
        </w:rPr>
        <w:t> </w:t>
      </w:r>
      <w:r>
        <w:rPr>
          <w:color w:val="586670"/>
          <w:sz w:val="13"/>
        </w:rPr>
        <w:t>Committee</w:t>
      </w:r>
      <w:r>
        <w:rPr>
          <w:color w:val="586670"/>
          <w:spacing w:val="-6"/>
          <w:sz w:val="13"/>
        </w:rPr>
        <w:t> </w:t>
      </w:r>
      <w:r>
        <w:rPr>
          <w:color w:val="586670"/>
          <w:sz w:val="13"/>
        </w:rPr>
        <w:t>fees</w:t>
      </w:r>
      <w:r>
        <w:rPr>
          <w:color w:val="586670"/>
          <w:spacing w:val="-6"/>
          <w:sz w:val="13"/>
        </w:rPr>
        <w:t> </w:t>
      </w:r>
      <w:r>
        <w:rPr>
          <w:color w:val="586670"/>
          <w:sz w:val="13"/>
        </w:rPr>
        <w:t>are</w:t>
      </w:r>
      <w:r>
        <w:rPr>
          <w:color w:val="586670"/>
          <w:spacing w:val="-6"/>
          <w:sz w:val="13"/>
        </w:rPr>
        <w:t> </w:t>
      </w:r>
      <w:r>
        <w:rPr>
          <w:color w:val="586670"/>
          <w:spacing w:val="2"/>
          <w:sz w:val="13"/>
        </w:rPr>
        <w:t>concerned.</w:t>
      </w:r>
    </w:p>
    <w:p>
      <w:pPr>
        <w:pStyle w:val="BodyText"/>
        <w:rPr>
          <w:sz w:val="14"/>
        </w:rPr>
      </w:pPr>
    </w:p>
    <w:p>
      <w:pPr>
        <w:pStyle w:val="BodyText"/>
        <w:spacing w:before="2"/>
        <w:rPr>
          <w:sz w:val="17"/>
        </w:rPr>
      </w:pPr>
    </w:p>
    <w:p>
      <w:pPr>
        <w:pStyle w:val="Heading3"/>
      </w:pPr>
      <w:r>
        <w:rPr>
          <w:color w:val="231F20"/>
          <w:w w:val="110"/>
        </w:rPr>
        <w:t>Compensation Committee (CC)</w:t>
      </w:r>
    </w:p>
    <w:p>
      <w:pPr>
        <w:pStyle w:val="BodyText"/>
        <w:spacing w:line="276" w:lineRule="auto" w:before="31"/>
        <w:ind w:left="560" w:right="1430"/>
      </w:pPr>
      <w:r>
        <w:rPr>
          <w:color w:val="231F20"/>
        </w:rPr>
        <w:t>The CC is governed by the Compensation Committee Charter. The Committee consists of the Chairperson who     is an independent and non-executive member of the Board, one of the Vice Chairmen of the Board and two   other non-executive members of the</w:t>
      </w:r>
      <w:r>
        <w:rPr>
          <w:color w:val="231F20"/>
          <w:spacing w:val="-11"/>
        </w:rPr>
        <w:t> </w:t>
      </w:r>
      <w:r>
        <w:rPr>
          <w:color w:val="231F20"/>
        </w:rPr>
        <w:t>Board.</w:t>
      </w:r>
    </w:p>
    <w:p>
      <w:pPr>
        <w:pStyle w:val="BodyText"/>
        <w:spacing w:line="276" w:lineRule="auto"/>
        <w:ind w:left="560" w:right="1115" w:firstLine="226"/>
      </w:pPr>
      <w:r>
        <w:rPr>
          <w:color w:val="231F20"/>
        </w:rPr>
        <w:t>The members of the CC and its Chairperson were appointed by the Board of Directors </w:t>
      </w:r>
      <w:r>
        <w:rPr>
          <w:color w:val="231F20"/>
          <w:spacing w:val="-2"/>
        </w:rPr>
        <w:t>for </w:t>
      </w:r>
      <w:r>
        <w:rPr>
          <w:color w:val="231F20"/>
        </w:rPr>
        <w:t>one </w:t>
      </w:r>
      <w:r>
        <w:rPr>
          <w:color w:val="231F20"/>
          <w:spacing w:val="-4"/>
        </w:rPr>
        <w:t>year. </w:t>
      </w:r>
      <w:r>
        <w:rPr>
          <w:color w:val="231F20"/>
        </w:rPr>
        <w:t>As from </w:t>
      </w:r>
      <w:r>
        <w:rPr>
          <w:color w:val="231F20"/>
          <w:spacing w:val="-6"/>
        </w:rPr>
        <w:t>2014 </w:t>
      </w:r>
      <w:r>
        <w:rPr>
          <w:color w:val="231F20"/>
        </w:rPr>
        <w:t>all members of the Compensation Committee will be annually elected by shareholders. On </w:t>
      </w:r>
      <w:r>
        <w:rPr>
          <w:color w:val="231F20"/>
          <w:spacing w:val="-3"/>
        </w:rPr>
        <w:t>31  </w:t>
      </w:r>
      <w:r>
        <w:rPr>
          <w:color w:val="231F20"/>
        </w:rPr>
        <w:t>December </w:t>
      </w:r>
      <w:r>
        <w:rPr>
          <w:color w:val="231F20"/>
          <w:spacing w:val="-4"/>
        </w:rPr>
        <w:t>2013,     </w:t>
      </w:r>
      <w:r>
        <w:rPr>
          <w:color w:val="231F20"/>
        </w:rPr>
        <w:t>the composition of the CC was as</w:t>
      </w:r>
      <w:r>
        <w:rPr>
          <w:color w:val="231F20"/>
          <w:spacing w:val="-13"/>
        </w:rPr>
        <w:t> </w:t>
      </w:r>
      <w:r>
        <w:rPr>
          <w:color w:val="231F20"/>
        </w:rPr>
        <w:t>follows:</w:t>
      </w:r>
    </w:p>
    <w:p>
      <w:pPr>
        <w:pStyle w:val="BodyText"/>
        <w:spacing w:before="4"/>
        <w:rPr>
          <w:sz w:val="15"/>
        </w:rPr>
      </w:pPr>
      <w:r>
        <w:rPr/>
        <w:pict>
          <v:line style="position:absolute;mso-position-horizontal-relative:page;mso-position-vertical-relative:paragraph;z-index:1448;mso-wrap-distance-left:0;mso-wrap-distance-right:0" from="51.023602pt,11.031543pt" to="566.929602pt,11.031543pt" stroked="true" strokeweight=".25pt" strokecolor="#231f20">
            <v:stroke dashstyle="solid"/>
            <w10:wrap type="topAndBottom"/>
          </v:line>
        </w:pict>
      </w:r>
    </w:p>
    <w:p>
      <w:pPr>
        <w:pStyle w:val="BodyText"/>
        <w:spacing w:before="9"/>
        <w:rPr>
          <w:sz w:val="21"/>
        </w:rPr>
      </w:pPr>
    </w:p>
    <w:p>
      <w:pPr>
        <w:tabs>
          <w:tab w:pos="5832" w:val="left" w:leader="none"/>
        </w:tabs>
        <w:spacing w:before="0" w:after="18"/>
        <w:ind w:left="560" w:right="0" w:firstLine="0"/>
        <w:jc w:val="left"/>
        <w:rPr>
          <w:sz w:val="15"/>
        </w:rPr>
      </w:pPr>
      <w:r>
        <w:rPr>
          <w:color w:val="231F20"/>
          <w:w w:val="105"/>
          <w:sz w:val="15"/>
        </w:rPr>
        <w:t>Chairman</w:t>
        <w:tab/>
        <w:t>Members</w:t>
      </w:r>
    </w:p>
    <w:p>
      <w:pPr>
        <w:pStyle w:val="BodyText"/>
        <w:spacing w:line="20" w:lineRule="exact"/>
        <w:ind w:left="557"/>
        <w:rPr>
          <w:sz w:val="2"/>
        </w:rPr>
      </w:pPr>
      <w:r>
        <w:rPr>
          <w:sz w:val="2"/>
        </w:rPr>
        <w:pict>
          <v:group style="width:515.9500pt;height:.25pt;mso-position-horizontal-relative:char;mso-position-vertical-relative:line" coordorigin="0,0" coordsize="10319,5">
            <v:line style="position:absolute" from="5272,3" to="10318,3" stroked="true" strokeweight=".25pt" strokecolor="#231f20">
              <v:stroke dashstyle="solid"/>
            </v:line>
            <v:line style="position:absolute" from="0,3" to="5216,3" stroked="true" strokeweight=".25pt" strokecolor="#231f20">
              <v:stroke dashstyle="solid"/>
            </v:line>
          </v:group>
        </w:pict>
      </w:r>
      <w:r>
        <w:rPr>
          <w:sz w:val="2"/>
        </w:rPr>
      </w:r>
    </w:p>
    <w:p>
      <w:pPr>
        <w:tabs>
          <w:tab w:pos="5832" w:val="left" w:leader="none"/>
        </w:tabs>
        <w:spacing w:before="28" w:after="18"/>
        <w:ind w:left="560" w:right="0" w:firstLine="0"/>
        <w:jc w:val="left"/>
        <w:rPr>
          <w:sz w:val="15"/>
        </w:rPr>
      </w:pPr>
      <w:r>
        <w:rPr>
          <w:color w:val="231F20"/>
          <w:sz w:val="15"/>
        </w:rPr>
        <w:t>Daniel</w:t>
      </w:r>
      <w:r>
        <w:rPr>
          <w:color w:val="231F20"/>
          <w:spacing w:val="-4"/>
          <w:sz w:val="15"/>
        </w:rPr>
        <w:t> </w:t>
      </w:r>
      <w:r>
        <w:rPr>
          <w:color w:val="231F20"/>
          <w:sz w:val="15"/>
        </w:rPr>
        <w:t>Borel</w:t>
        <w:tab/>
        <w:t>Andreas</w:t>
      </w:r>
      <w:r>
        <w:rPr>
          <w:color w:val="231F20"/>
          <w:spacing w:val="-7"/>
          <w:sz w:val="15"/>
        </w:rPr>
        <w:t> </w:t>
      </w:r>
      <w:r>
        <w:rPr>
          <w:color w:val="231F20"/>
          <w:sz w:val="15"/>
        </w:rPr>
        <w:t>Koopmann</w:t>
      </w:r>
    </w:p>
    <w:p>
      <w:pPr>
        <w:pStyle w:val="BodyText"/>
        <w:spacing w:line="20" w:lineRule="exact"/>
        <w:ind w:left="557"/>
        <w:rPr>
          <w:sz w:val="2"/>
        </w:rPr>
      </w:pPr>
      <w:r>
        <w:rPr>
          <w:sz w:val="2"/>
        </w:rPr>
        <w:pict>
          <v:group style="width:515.9500pt;height:.25pt;mso-position-horizontal-relative:char;mso-position-vertical-relative:line" coordorigin="0,0" coordsize="10319,5">
            <v:line style="position:absolute" from="5272,3" to="10318,3" stroked="true" strokeweight=".25pt" strokecolor="#8f999f">
              <v:stroke dashstyle="solid"/>
            </v:line>
            <v:line style="position:absolute" from="0,3" to="5216,3" stroked="true" strokeweight=".25pt" strokecolor="#8f999f">
              <v:stroke dashstyle="solid"/>
            </v:line>
          </v:group>
        </w:pict>
      </w:r>
      <w:r>
        <w:rPr>
          <w:sz w:val="2"/>
        </w:rPr>
      </w:r>
    </w:p>
    <w:p>
      <w:pPr>
        <w:spacing w:line="331" w:lineRule="auto" w:before="28"/>
        <w:ind w:left="5832" w:right="3821" w:firstLine="0"/>
        <w:jc w:val="left"/>
        <w:rPr>
          <w:sz w:val="15"/>
        </w:rPr>
      </w:pPr>
      <w:r>
        <w:rPr/>
        <w:pict>
          <v:shape style="position:absolute;margin-left:51.023602pt;margin-top:11.118247pt;width:515.9500pt;height:.1pt;mso-position-horizontal-relative:page;mso-position-vertical-relative:paragraph;z-index:-114832" coordorigin="1020,222" coordsize="10319,0" path="m6293,222l11339,222m1020,222l6236,222e" filled="false" stroked="true" strokeweight=".25pt" strokecolor="#8f999f">
            <v:path arrowok="t"/>
            <v:stroke dashstyle="solid"/>
            <w10:wrap type="none"/>
          </v:shape>
        </w:pict>
      </w:r>
      <w:r>
        <w:rPr/>
        <w:pict>
          <v:shape style="position:absolute;margin-left:51.023602pt;margin-top:23.118248pt;width:515.9500pt;height:.1pt;mso-position-horizontal-relative:page;mso-position-vertical-relative:paragraph;z-index:-114808" coordorigin="1020,462" coordsize="10319,0" path="m6293,462l11339,462m1020,462l6236,462e" filled="false" stroked="true" strokeweight=".25pt" strokecolor="#8f999f">
            <v:path arrowok="t"/>
            <v:stroke dashstyle="solid"/>
            <w10:wrap type="none"/>
          </v:shape>
        </w:pict>
      </w:r>
      <w:r>
        <w:rPr>
          <w:color w:val="231F20"/>
          <w:sz w:val="15"/>
        </w:rPr>
        <w:t>Jean-Pierre Meyers Jean-Pierre Roth</w:t>
      </w:r>
    </w:p>
    <w:p>
      <w:pPr>
        <w:pStyle w:val="BodyText"/>
        <w:rPr>
          <w:sz w:val="16"/>
        </w:rPr>
      </w:pPr>
    </w:p>
    <w:p>
      <w:pPr>
        <w:pStyle w:val="BodyText"/>
        <w:spacing w:before="10"/>
        <w:rPr>
          <w:sz w:val="22"/>
        </w:rPr>
      </w:pPr>
    </w:p>
    <w:p>
      <w:pPr>
        <w:pStyle w:val="Heading3"/>
        <w:spacing w:line="276" w:lineRule="auto"/>
        <w:ind w:right="3821"/>
      </w:pPr>
      <w:r>
        <w:rPr>
          <w:color w:val="231F20"/>
          <w:w w:val="110"/>
        </w:rPr>
        <w:t>Principles of compensation for the members of the Board of Directors </w:t>
      </w:r>
      <w:r>
        <w:rPr>
          <w:color w:val="586670"/>
          <w:w w:val="110"/>
        </w:rPr>
        <w:t>Principles</w:t>
      </w:r>
    </w:p>
    <w:p>
      <w:pPr>
        <w:pStyle w:val="BodyText"/>
        <w:spacing w:line="276" w:lineRule="auto"/>
        <w:ind w:left="560" w:right="1085"/>
      </w:pPr>
      <w:r>
        <w:rPr>
          <w:color w:val="231F20"/>
        </w:rPr>
        <w:t>The remuneration of the members of the Board of Directors is set to attract and retain highly qualified individuals to serve on the Board of Directors. The level of remuneration reflects the time and </w:t>
      </w:r>
      <w:r>
        <w:rPr>
          <w:color w:val="231F20"/>
          <w:spacing w:val="2"/>
        </w:rPr>
        <w:t>effort </w:t>
      </w:r>
      <w:r>
        <w:rPr>
          <w:color w:val="231F20"/>
        </w:rPr>
        <w:t>required from the members</w:t>
      </w:r>
      <w:r>
        <w:rPr>
          <w:color w:val="231F20"/>
          <w:spacing w:val="7"/>
        </w:rPr>
        <w:t> </w:t>
      </w:r>
      <w:r>
        <w:rPr>
          <w:color w:val="231F20"/>
        </w:rPr>
        <w:t>in</w:t>
      </w:r>
      <w:r>
        <w:rPr>
          <w:color w:val="231F20"/>
          <w:spacing w:val="8"/>
        </w:rPr>
        <w:t> </w:t>
      </w:r>
      <w:r>
        <w:rPr>
          <w:color w:val="231F20"/>
        </w:rPr>
        <w:t>fulfilling</w:t>
      </w:r>
      <w:r>
        <w:rPr>
          <w:color w:val="231F20"/>
          <w:spacing w:val="7"/>
        </w:rPr>
        <w:t> </w:t>
      </w:r>
      <w:r>
        <w:rPr>
          <w:color w:val="231F20"/>
        </w:rPr>
        <w:t>their</w:t>
      </w:r>
      <w:r>
        <w:rPr>
          <w:color w:val="231F20"/>
          <w:spacing w:val="7"/>
        </w:rPr>
        <w:t> </w:t>
      </w:r>
      <w:r>
        <w:rPr>
          <w:color w:val="231F20"/>
        </w:rPr>
        <w:t>Board</w:t>
      </w:r>
      <w:r>
        <w:rPr>
          <w:color w:val="231F20"/>
          <w:spacing w:val="8"/>
        </w:rPr>
        <w:t> </w:t>
      </w:r>
      <w:r>
        <w:rPr>
          <w:color w:val="231F20"/>
        </w:rPr>
        <w:t>and</w:t>
      </w:r>
      <w:r>
        <w:rPr>
          <w:color w:val="231F20"/>
          <w:spacing w:val="7"/>
        </w:rPr>
        <w:t> </w:t>
      </w:r>
      <w:r>
        <w:rPr>
          <w:color w:val="231F20"/>
        </w:rPr>
        <w:t>Committee</w:t>
      </w:r>
      <w:r>
        <w:rPr>
          <w:color w:val="231F20"/>
          <w:spacing w:val="8"/>
        </w:rPr>
        <w:t> </w:t>
      </w:r>
      <w:r>
        <w:rPr>
          <w:color w:val="231F20"/>
        </w:rPr>
        <w:t>responsibilities.</w:t>
      </w:r>
      <w:r>
        <w:rPr>
          <w:color w:val="231F20"/>
          <w:spacing w:val="7"/>
        </w:rPr>
        <w:t> </w:t>
      </w:r>
      <w:r>
        <w:rPr>
          <w:color w:val="231F20"/>
        </w:rPr>
        <w:t>The</w:t>
      </w:r>
      <w:r>
        <w:rPr>
          <w:color w:val="231F20"/>
          <w:spacing w:val="8"/>
        </w:rPr>
        <w:t> </w:t>
      </w:r>
      <w:r>
        <w:rPr>
          <w:color w:val="231F20"/>
        </w:rPr>
        <w:t>pay</w:t>
      </w:r>
      <w:r>
        <w:rPr>
          <w:color w:val="231F20"/>
          <w:spacing w:val="7"/>
        </w:rPr>
        <w:t> </w:t>
      </w:r>
      <w:r>
        <w:rPr>
          <w:color w:val="231F20"/>
        </w:rPr>
        <w:t>structure</w:t>
      </w:r>
      <w:r>
        <w:rPr>
          <w:color w:val="231F20"/>
          <w:spacing w:val="8"/>
        </w:rPr>
        <w:t> </w:t>
      </w:r>
      <w:r>
        <w:rPr>
          <w:color w:val="231F20"/>
        </w:rPr>
        <w:t>(cash</w:t>
      </w:r>
      <w:r>
        <w:rPr>
          <w:color w:val="231F20"/>
          <w:spacing w:val="7"/>
        </w:rPr>
        <w:t> </w:t>
      </w:r>
      <w:r>
        <w:rPr>
          <w:color w:val="231F20"/>
        </w:rPr>
        <w:t>and</w:t>
      </w:r>
      <w:r>
        <w:rPr>
          <w:color w:val="231F20"/>
          <w:spacing w:val="8"/>
        </w:rPr>
        <w:t> </w:t>
      </w:r>
      <w:r>
        <w:rPr>
          <w:color w:val="231F20"/>
        </w:rPr>
        <w:t>blocked</w:t>
      </w:r>
      <w:r>
        <w:rPr>
          <w:color w:val="231F20"/>
          <w:spacing w:val="7"/>
        </w:rPr>
        <w:t> </w:t>
      </w:r>
      <w:r>
        <w:rPr>
          <w:color w:val="231F20"/>
        </w:rPr>
        <w:t>shares)</w:t>
      </w:r>
    </w:p>
    <w:p>
      <w:pPr>
        <w:pStyle w:val="BodyText"/>
        <w:spacing w:line="208" w:lineRule="exact"/>
        <w:ind w:left="560"/>
      </w:pPr>
      <w:r>
        <w:rPr>
          <w:color w:val="231F20"/>
          <w:w w:val="105"/>
        </w:rPr>
        <w:t>is designed to ensure the Board’s focus on the long-term success of the Company.</w:t>
      </w:r>
    </w:p>
    <w:p>
      <w:pPr>
        <w:pStyle w:val="BodyText"/>
        <w:spacing w:line="276" w:lineRule="auto" w:before="31"/>
        <w:ind w:left="560" w:right="1085" w:firstLine="226"/>
      </w:pPr>
      <w:r>
        <w:rPr>
          <w:color w:val="231F20"/>
        </w:rPr>
        <w:t>The principal benchmark used to define Board remuneration is a selection of large Swiss Market Index (SMI) companies, adjusted for the size of Nestlé. These figures are periodically reviewed against this benchmark.</w:t>
      </w:r>
    </w:p>
    <w:p>
      <w:pPr>
        <w:pStyle w:val="BodyText"/>
        <w:spacing w:before="6"/>
        <w:rPr>
          <w:sz w:val="20"/>
        </w:rPr>
      </w:pPr>
    </w:p>
    <w:p>
      <w:pPr>
        <w:pStyle w:val="Heading3"/>
        <w:spacing w:line="276" w:lineRule="auto" w:before="1"/>
        <w:ind w:right="4113"/>
      </w:pPr>
      <w:r>
        <w:rPr>
          <w:color w:val="231F20"/>
          <w:w w:val="110"/>
        </w:rPr>
        <w:t>Compensation 2013 for the members of the Board of Directors </w:t>
      </w:r>
      <w:r>
        <w:rPr>
          <w:color w:val="586670"/>
          <w:w w:val="110"/>
        </w:rPr>
        <w:t>Board membership fees and allowances</w:t>
      </w:r>
    </w:p>
    <w:p>
      <w:pPr>
        <w:pStyle w:val="BodyText"/>
        <w:spacing w:line="276" w:lineRule="auto"/>
        <w:ind w:left="560" w:right="1085"/>
      </w:pPr>
      <w:r>
        <w:rPr>
          <w:color w:val="231F20"/>
          <w:w w:val="105"/>
        </w:rPr>
        <w:t>With</w:t>
      </w:r>
      <w:r>
        <w:rPr>
          <w:color w:val="231F20"/>
          <w:spacing w:val="-11"/>
          <w:w w:val="105"/>
        </w:rPr>
        <w:t> </w:t>
      </w:r>
      <w:r>
        <w:rPr>
          <w:color w:val="231F20"/>
          <w:w w:val="105"/>
        </w:rPr>
        <w:t>the</w:t>
      </w:r>
      <w:r>
        <w:rPr>
          <w:color w:val="231F20"/>
          <w:spacing w:val="-10"/>
          <w:w w:val="105"/>
        </w:rPr>
        <w:t> </w:t>
      </w:r>
      <w:r>
        <w:rPr>
          <w:color w:val="231F20"/>
          <w:w w:val="105"/>
        </w:rPr>
        <w:t>exception</w:t>
      </w:r>
      <w:r>
        <w:rPr>
          <w:color w:val="231F20"/>
          <w:spacing w:val="-11"/>
          <w:w w:val="105"/>
        </w:rPr>
        <w:t> </w:t>
      </w:r>
      <w:r>
        <w:rPr>
          <w:color w:val="231F20"/>
          <w:w w:val="105"/>
        </w:rPr>
        <w:t>of</w:t>
      </w:r>
      <w:r>
        <w:rPr>
          <w:color w:val="231F20"/>
          <w:spacing w:val="-10"/>
          <w:w w:val="105"/>
        </w:rPr>
        <w:t> </w:t>
      </w:r>
      <w:r>
        <w:rPr>
          <w:color w:val="231F20"/>
          <w:w w:val="105"/>
        </w:rPr>
        <w:t>the</w:t>
      </w:r>
      <w:r>
        <w:rPr>
          <w:color w:val="231F20"/>
          <w:spacing w:val="-11"/>
          <w:w w:val="105"/>
        </w:rPr>
        <w:t> </w:t>
      </w:r>
      <w:r>
        <w:rPr>
          <w:color w:val="231F20"/>
          <w:w w:val="105"/>
        </w:rPr>
        <w:t>Chairman</w:t>
      </w:r>
      <w:r>
        <w:rPr>
          <w:color w:val="231F20"/>
          <w:spacing w:val="-10"/>
          <w:w w:val="105"/>
        </w:rPr>
        <w:t> </w:t>
      </w:r>
      <w:r>
        <w:rPr>
          <w:color w:val="231F20"/>
          <w:w w:val="105"/>
        </w:rPr>
        <w:t>and</w:t>
      </w:r>
      <w:r>
        <w:rPr>
          <w:color w:val="231F20"/>
          <w:spacing w:val="-11"/>
          <w:w w:val="105"/>
        </w:rPr>
        <w:t> </w:t>
      </w:r>
      <w:r>
        <w:rPr>
          <w:color w:val="231F20"/>
          <w:w w:val="105"/>
        </w:rPr>
        <w:t>the</w:t>
      </w:r>
      <w:r>
        <w:rPr>
          <w:color w:val="231F20"/>
          <w:spacing w:val="-10"/>
          <w:w w:val="105"/>
        </w:rPr>
        <w:t> </w:t>
      </w:r>
      <w:r>
        <w:rPr>
          <w:color w:val="231F20"/>
          <w:w w:val="105"/>
        </w:rPr>
        <w:t>CEO,</w:t>
      </w:r>
      <w:r>
        <w:rPr>
          <w:color w:val="231F20"/>
          <w:spacing w:val="-10"/>
          <w:w w:val="105"/>
        </w:rPr>
        <w:t> </w:t>
      </w:r>
      <w:r>
        <w:rPr>
          <w:color w:val="231F20"/>
          <w:w w:val="105"/>
        </w:rPr>
        <w:t>each</w:t>
      </w:r>
      <w:r>
        <w:rPr>
          <w:color w:val="231F20"/>
          <w:spacing w:val="-11"/>
          <w:w w:val="105"/>
        </w:rPr>
        <w:t> </w:t>
      </w:r>
      <w:r>
        <w:rPr>
          <w:color w:val="231F20"/>
          <w:w w:val="105"/>
        </w:rPr>
        <w:t>member</w:t>
      </w:r>
      <w:r>
        <w:rPr>
          <w:color w:val="231F20"/>
          <w:spacing w:val="-10"/>
          <w:w w:val="105"/>
        </w:rPr>
        <w:t> </w:t>
      </w:r>
      <w:r>
        <w:rPr>
          <w:color w:val="231F20"/>
          <w:w w:val="105"/>
        </w:rPr>
        <w:t>of</w:t>
      </w:r>
      <w:r>
        <w:rPr>
          <w:color w:val="231F20"/>
          <w:spacing w:val="-11"/>
          <w:w w:val="105"/>
        </w:rPr>
        <w:t> </w:t>
      </w:r>
      <w:r>
        <w:rPr>
          <w:color w:val="231F20"/>
          <w:w w:val="105"/>
        </w:rPr>
        <w:t>the</w:t>
      </w:r>
      <w:r>
        <w:rPr>
          <w:color w:val="231F20"/>
          <w:spacing w:val="-10"/>
          <w:w w:val="105"/>
        </w:rPr>
        <w:t> </w:t>
      </w:r>
      <w:r>
        <w:rPr>
          <w:color w:val="231F20"/>
          <w:w w:val="105"/>
        </w:rPr>
        <w:t>Board</w:t>
      </w:r>
      <w:r>
        <w:rPr>
          <w:color w:val="231F20"/>
          <w:spacing w:val="-11"/>
          <w:w w:val="105"/>
        </w:rPr>
        <w:t> </w:t>
      </w:r>
      <w:r>
        <w:rPr>
          <w:color w:val="231F20"/>
          <w:w w:val="105"/>
        </w:rPr>
        <w:t>of</w:t>
      </w:r>
      <w:r>
        <w:rPr>
          <w:color w:val="231F20"/>
          <w:spacing w:val="-10"/>
          <w:w w:val="105"/>
        </w:rPr>
        <w:t> </w:t>
      </w:r>
      <w:r>
        <w:rPr>
          <w:color w:val="231F20"/>
          <w:w w:val="105"/>
        </w:rPr>
        <w:t>Directors</w:t>
      </w:r>
      <w:r>
        <w:rPr>
          <w:color w:val="231F20"/>
          <w:spacing w:val="-11"/>
          <w:w w:val="105"/>
        </w:rPr>
        <w:t> </w:t>
      </w:r>
      <w:r>
        <w:rPr>
          <w:color w:val="231F20"/>
          <w:w w:val="105"/>
        </w:rPr>
        <w:t>receives</w:t>
      </w:r>
      <w:r>
        <w:rPr>
          <w:color w:val="231F20"/>
          <w:spacing w:val="-10"/>
          <w:w w:val="105"/>
        </w:rPr>
        <w:t> </w:t>
      </w:r>
      <w:r>
        <w:rPr>
          <w:color w:val="231F20"/>
          <w:w w:val="105"/>
        </w:rPr>
        <w:t>a</w:t>
      </w:r>
      <w:r>
        <w:rPr>
          <w:color w:val="231F20"/>
          <w:spacing w:val="-11"/>
          <w:w w:val="105"/>
        </w:rPr>
        <w:t> </w:t>
      </w:r>
      <w:r>
        <w:rPr>
          <w:color w:val="231F20"/>
          <w:w w:val="105"/>
        </w:rPr>
        <w:t>Board membership fee of CHF 280 </w:t>
      </w:r>
      <w:r>
        <w:rPr>
          <w:color w:val="231F20"/>
          <w:spacing w:val="2"/>
          <w:w w:val="105"/>
        </w:rPr>
        <w:t>000 </w:t>
      </w:r>
      <w:r>
        <w:rPr>
          <w:color w:val="231F20"/>
          <w:w w:val="105"/>
        </w:rPr>
        <w:t>and an Expense Allowance of CHF </w:t>
      </w:r>
      <w:r>
        <w:rPr>
          <w:color w:val="231F20"/>
          <w:spacing w:val="-5"/>
          <w:w w:val="105"/>
        </w:rPr>
        <w:t>15 </w:t>
      </w:r>
      <w:r>
        <w:rPr>
          <w:color w:val="231F20"/>
          <w:w w:val="105"/>
        </w:rPr>
        <w:t>000. These figures have remained unchanged since</w:t>
      </w:r>
      <w:r>
        <w:rPr>
          <w:color w:val="231F20"/>
          <w:spacing w:val="-11"/>
          <w:w w:val="105"/>
        </w:rPr>
        <w:t> </w:t>
      </w:r>
      <w:r>
        <w:rPr>
          <w:color w:val="231F20"/>
          <w:w w:val="105"/>
        </w:rPr>
        <w:t>2006.</w:t>
      </w:r>
    </w:p>
    <w:p>
      <w:pPr>
        <w:spacing w:after="0" w:line="276" w:lineRule="auto"/>
        <w:sectPr>
          <w:headerReference w:type="default" r:id="rId89"/>
          <w:headerReference w:type="even" r:id="rId90"/>
          <w:pgSz w:w="11910" w:h="14750"/>
          <w:pgMar w:header="642" w:footer="509" w:top="840" w:bottom="700" w:left="460" w:right="460"/>
        </w:sectPr>
      </w:pPr>
    </w:p>
    <w:p>
      <w:pPr>
        <w:pStyle w:val="BodyText"/>
        <w:rPr>
          <w:sz w:val="20"/>
        </w:rPr>
      </w:pPr>
    </w:p>
    <w:p>
      <w:pPr>
        <w:pStyle w:val="BodyText"/>
        <w:rPr>
          <w:sz w:val="20"/>
        </w:rPr>
      </w:pPr>
    </w:p>
    <w:p>
      <w:pPr>
        <w:pStyle w:val="BodyText"/>
        <w:spacing w:before="11"/>
        <w:rPr>
          <w:sz w:val="15"/>
        </w:rPr>
      </w:pPr>
    </w:p>
    <w:p>
      <w:pPr>
        <w:pStyle w:val="BodyText"/>
        <w:spacing w:before="106"/>
        <w:ind w:left="106"/>
      </w:pPr>
      <w:r>
        <w:rPr>
          <w:color w:val="231F20"/>
        </w:rPr>
        <w:t>Members of a Board Committee receive the following additional fees:</w:t>
      </w:r>
    </w:p>
    <w:p>
      <w:pPr>
        <w:pStyle w:val="BodyText"/>
        <w:spacing w:before="3"/>
      </w:pPr>
      <w:r>
        <w:rPr/>
        <w:pict>
          <v:line style="position:absolute;mso-position-horizontal-relative:page;mso-position-vertical-relative:paragraph;z-index:1568;mso-wrap-distance-left:0;mso-wrap-distance-right:0" from="28.346399pt,12.704653pt" to="544.252399pt,12.704653pt" stroked="true" strokeweight=".25pt" strokecolor="#231f20">
            <v:stroke dashstyle="solid"/>
            <w10:wrap type="topAndBottom"/>
          </v:line>
        </w:pict>
      </w:r>
    </w:p>
    <w:p>
      <w:pPr>
        <w:pStyle w:val="BodyText"/>
        <w:spacing w:before="8"/>
        <w:rPr>
          <w:sz w:val="21"/>
        </w:rPr>
      </w:pPr>
    </w:p>
    <w:tbl>
      <w:tblPr>
        <w:tblW w:w="0" w:type="auto"/>
        <w:jc w:val="left"/>
        <w:tblInd w:w="1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436"/>
        <w:gridCol w:w="2596"/>
        <w:gridCol w:w="3286"/>
      </w:tblGrid>
      <w:tr>
        <w:trPr>
          <w:trHeight w:val="192" w:hRule="atLeast"/>
        </w:trPr>
        <w:tc>
          <w:tcPr>
            <w:tcW w:w="4436" w:type="dxa"/>
            <w:tcBorders>
              <w:bottom w:val="single" w:sz="2" w:space="0" w:color="231F20"/>
            </w:tcBorders>
          </w:tcPr>
          <w:p>
            <w:pPr>
              <w:pStyle w:val="TableParagraph"/>
              <w:spacing w:line="240" w:lineRule="auto" w:before="0"/>
              <w:rPr>
                <w:rFonts w:ascii="Times New Roman"/>
                <w:sz w:val="12"/>
              </w:rPr>
            </w:pPr>
          </w:p>
        </w:tc>
        <w:tc>
          <w:tcPr>
            <w:tcW w:w="2596" w:type="dxa"/>
            <w:tcBorders>
              <w:bottom w:val="single" w:sz="2" w:space="0" w:color="231F20"/>
            </w:tcBorders>
          </w:tcPr>
          <w:p>
            <w:pPr>
              <w:pStyle w:val="TableParagraph"/>
              <w:spacing w:before="1"/>
              <w:ind w:left="836"/>
              <w:rPr>
                <w:sz w:val="15"/>
              </w:rPr>
            </w:pPr>
            <w:r>
              <w:rPr>
                <w:color w:val="231F20"/>
                <w:sz w:val="15"/>
              </w:rPr>
              <w:t>Chair</w:t>
            </w:r>
          </w:p>
        </w:tc>
        <w:tc>
          <w:tcPr>
            <w:tcW w:w="3286" w:type="dxa"/>
            <w:tcBorders>
              <w:bottom w:val="single" w:sz="2" w:space="0" w:color="231F20"/>
            </w:tcBorders>
          </w:tcPr>
          <w:p>
            <w:pPr>
              <w:pStyle w:val="TableParagraph"/>
              <w:spacing w:before="1"/>
              <w:ind w:left="876"/>
              <w:rPr>
                <w:sz w:val="15"/>
              </w:rPr>
            </w:pPr>
            <w:r>
              <w:rPr>
                <w:color w:val="231F20"/>
                <w:w w:val="105"/>
                <w:sz w:val="15"/>
              </w:rPr>
              <w:t>Members</w:t>
            </w:r>
          </w:p>
        </w:tc>
      </w:tr>
      <w:tr>
        <w:trPr>
          <w:trHeight w:val="235" w:hRule="atLeast"/>
        </w:trPr>
        <w:tc>
          <w:tcPr>
            <w:tcW w:w="4436" w:type="dxa"/>
            <w:tcBorders>
              <w:top w:val="single" w:sz="2" w:space="0" w:color="231F20"/>
              <w:bottom w:val="single" w:sz="2" w:space="0" w:color="8F999F"/>
            </w:tcBorders>
          </w:tcPr>
          <w:p>
            <w:pPr>
              <w:pStyle w:val="TableParagraph"/>
              <w:rPr>
                <w:sz w:val="10"/>
              </w:rPr>
            </w:pPr>
            <w:r>
              <w:rPr>
                <w:color w:val="231F20"/>
                <w:sz w:val="15"/>
              </w:rPr>
              <w:t>Chairman’s and Corporate Governance Committee </w:t>
            </w:r>
            <w:r>
              <w:rPr>
                <w:color w:val="231F20"/>
                <w:position w:val="4"/>
                <w:sz w:val="10"/>
              </w:rPr>
              <w:t>(a)</w:t>
            </w:r>
          </w:p>
        </w:tc>
        <w:tc>
          <w:tcPr>
            <w:tcW w:w="2596" w:type="dxa"/>
            <w:tcBorders>
              <w:top w:val="single" w:sz="2" w:space="0" w:color="231F20"/>
              <w:bottom w:val="single" w:sz="2" w:space="0" w:color="8F999F"/>
            </w:tcBorders>
          </w:tcPr>
          <w:p>
            <w:pPr>
              <w:pStyle w:val="TableParagraph"/>
              <w:ind w:left="836"/>
              <w:rPr>
                <w:sz w:val="15"/>
              </w:rPr>
            </w:pPr>
            <w:r>
              <w:rPr>
                <w:color w:val="231F20"/>
                <w:w w:val="139"/>
                <w:sz w:val="15"/>
              </w:rPr>
              <w:t>–</w:t>
            </w:r>
          </w:p>
        </w:tc>
        <w:tc>
          <w:tcPr>
            <w:tcW w:w="3286" w:type="dxa"/>
            <w:tcBorders>
              <w:top w:val="single" w:sz="2" w:space="0" w:color="231F20"/>
              <w:bottom w:val="single" w:sz="2" w:space="0" w:color="8F999F"/>
            </w:tcBorders>
          </w:tcPr>
          <w:p>
            <w:pPr>
              <w:pStyle w:val="TableParagraph"/>
              <w:ind w:left="876"/>
              <w:rPr>
                <w:sz w:val="15"/>
              </w:rPr>
            </w:pPr>
            <w:r>
              <w:rPr>
                <w:color w:val="231F20"/>
                <w:w w:val="110"/>
                <w:sz w:val="15"/>
              </w:rPr>
              <w:t>CHF 200 000</w:t>
            </w:r>
          </w:p>
        </w:tc>
      </w:tr>
      <w:tr>
        <w:trPr>
          <w:trHeight w:val="235" w:hRule="atLeast"/>
        </w:trPr>
        <w:tc>
          <w:tcPr>
            <w:tcW w:w="4436" w:type="dxa"/>
            <w:tcBorders>
              <w:top w:val="single" w:sz="2" w:space="0" w:color="8F999F"/>
              <w:bottom w:val="single" w:sz="2" w:space="0" w:color="8F999F"/>
            </w:tcBorders>
          </w:tcPr>
          <w:p>
            <w:pPr>
              <w:pStyle w:val="TableParagraph"/>
              <w:rPr>
                <w:sz w:val="10"/>
              </w:rPr>
            </w:pPr>
            <w:r>
              <w:rPr>
                <w:color w:val="231F20"/>
                <w:sz w:val="15"/>
              </w:rPr>
              <w:t>Compensation Committee </w:t>
            </w:r>
            <w:r>
              <w:rPr>
                <w:color w:val="231F20"/>
                <w:position w:val="4"/>
                <w:sz w:val="10"/>
              </w:rPr>
              <w:t>(b)</w:t>
            </w:r>
          </w:p>
        </w:tc>
        <w:tc>
          <w:tcPr>
            <w:tcW w:w="2596" w:type="dxa"/>
            <w:tcBorders>
              <w:top w:val="single" w:sz="2" w:space="0" w:color="8F999F"/>
              <w:bottom w:val="single" w:sz="2" w:space="0" w:color="8F999F"/>
            </w:tcBorders>
          </w:tcPr>
          <w:p>
            <w:pPr>
              <w:pStyle w:val="TableParagraph"/>
              <w:ind w:left="836"/>
              <w:rPr>
                <w:sz w:val="15"/>
              </w:rPr>
            </w:pPr>
            <w:r>
              <w:rPr>
                <w:color w:val="231F20"/>
                <w:w w:val="110"/>
                <w:sz w:val="15"/>
              </w:rPr>
              <w:t>CHF 100 000</w:t>
            </w:r>
          </w:p>
        </w:tc>
        <w:tc>
          <w:tcPr>
            <w:tcW w:w="3286" w:type="dxa"/>
            <w:tcBorders>
              <w:top w:val="single" w:sz="2" w:space="0" w:color="8F999F"/>
              <w:bottom w:val="single" w:sz="2" w:space="0" w:color="8F999F"/>
            </w:tcBorders>
          </w:tcPr>
          <w:p>
            <w:pPr>
              <w:pStyle w:val="TableParagraph"/>
              <w:ind w:left="876"/>
              <w:rPr>
                <w:sz w:val="15"/>
              </w:rPr>
            </w:pPr>
            <w:r>
              <w:rPr>
                <w:color w:val="231F20"/>
                <w:w w:val="110"/>
                <w:sz w:val="15"/>
              </w:rPr>
              <w:t>CHF 40 000</w:t>
            </w:r>
          </w:p>
        </w:tc>
      </w:tr>
      <w:tr>
        <w:trPr>
          <w:trHeight w:val="235" w:hRule="atLeast"/>
        </w:trPr>
        <w:tc>
          <w:tcPr>
            <w:tcW w:w="4436" w:type="dxa"/>
            <w:tcBorders>
              <w:top w:val="single" w:sz="2" w:space="0" w:color="8F999F"/>
              <w:bottom w:val="single" w:sz="2" w:space="0" w:color="8F999F"/>
            </w:tcBorders>
          </w:tcPr>
          <w:p>
            <w:pPr>
              <w:pStyle w:val="TableParagraph"/>
              <w:rPr>
                <w:sz w:val="15"/>
              </w:rPr>
            </w:pPr>
            <w:r>
              <w:rPr>
                <w:color w:val="231F20"/>
                <w:sz w:val="15"/>
              </w:rPr>
              <w:t>Nomination Committee</w:t>
            </w:r>
          </w:p>
        </w:tc>
        <w:tc>
          <w:tcPr>
            <w:tcW w:w="2596" w:type="dxa"/>
            <w:tcBorders>
              <w:top w:val="single" w:sz="2" w:space="0" w:color="8F999F"/>
              <w:bottom w:val="single" w:sz="2" w:space="0" w:color="8F999F"/>
            </w:tcBorders>
          </w:tcPr>
          <w:p>
            <w:pPr>
              <w:pStyle w:val="TableParagraph"/>
              <w:ind w:left="836"/>
              <w:rPr>
                <w:sz w:val="15"/>
              </w:rPr>
            </w:pPr>
            <w:r>
              <w:rPr>
                <w:color w:val="231F20"/>
                <w:w w:val="110"/>
                <w:sz w:val="15"/>
              </w:rPr>
              <w:t>CHF 100 000</w:t>
            </w:r>
          </w:p>
        </w:tc>
        <w:tc>
          <w:tcPr>
            <w:tcW w:w="3286" w:type="dxa"/>
            <w:tcBorders>
              <w:top w:val="single" w:sz="2" w:space="0" w:color="8F999F"/>
              <w:bottom w:val="single" w:sz="2" w:space="0" w:color="8F999F"/>
            </w:tcBorders>
          </w:tcPr>
          <w:p>
            <w:pPr>
              <w:pStyle w:val="TableParagraph"/>
              <w:ind w:left="876"/>
              <w:rPr>
                <w:sz w:val="15"/>
              </w:rPr>
            </w:pPr>
            <w:r>
              <w:rPr>
                <w:color w:val="231F20"/>
                <w:w w:val="110"/>
                <w:sz w:val="15"/>
              </w:rPr>
              <w:t>CHF 40 000</w:t>
            </w:r>
          </w:p>
        </w:tc>
      </w:tr>
      <w:tr>
        <w:trPr>
          <w:trHeight w:val="235" w:hRule="atLeast"/>
        </w:trPr>
        <w:tc>
          <w:tcPr>
            <w:tcW w:w="4436" w:type="dxa"/>
            <w:tcBorders>
              <w:top w:val="single" w:sz="2" w:space="0" w:color="8F999F"/>
              <w:bottom w:val="single" w:sz="2" w:space="0" w:color="8F999F"/>
            </w:tcBorders>
          </w:tcPr>
          <w:p>
            <w:pPr>
              <w:pStyle w:val="TableParagraph"/>
              <w:rPr>
                <w:sz w:val="15"/>
              </w:rPr>
            </w:pPr>
            <w:r>
              <w:rPr>
                <w:color w:val="231F20"/>
                <w:sz w:val="15"/>
              </w:rPr>
              <w:t>Audit Committee</w:t>
            </w:r>
          </w:p>
        </w:tc>
        <w:tc>
          <w:tcPr>
            <w:tcW w:w="2596" w:type="dxa"/>
            <w:tcBorders>
              <w:top w:val="single" w:sz="2" w:space="0" w:color="8F999F"/>
              <w:bottom w:val="single" w:sz="2" w:space="0" w:color="8F999F"/>
            </w:tcBorders>
          </w:tcPr>
          <w:p>
            <w:pPr>
              <w:pStyle w:val="TableParagraph"/>
              <w:ind w:left="836"/>
              <w:rPr>
                <w:sz w:val="15"/>
              </w:rPr>
            </w:pPr>
            <w:r>
              <w:rPr>
                <w:color w:val="231F20"/>
                <w:w w:val="110"/>
                <w:sz w:val="15"/>
              </w:rPr>
              <w:t>CHF 150 000</w:t>
            </w:r>
          </w:p>
        </w:tc>
        <w:tc>
          <w:tcPr>
            <w:tcW w:w="3286" w:type="dxa"/>
            <w:tcBorders>
              <w:top w:val="single" w:sz="2" w:space="0" w:color="8F999F"/>
              <w:bottom w:val="single" w:sz="2" w:space="0" w:color="8F999F"/>
            </w:tcBorders>
          </w:tcPr>
          <w:p>
            <w:pPr>
              <w:pStyle w:val="TableParagraph"/>
              <w:ind w:left="876"/>
              <w:rPr>
                <w:sz w:val="15"/>
              </w:rPr>
            </w:pPr>
            <w:r>
              <w:rPr>
                <w:color w:val="231F20"/>
                <w:w w:val="110"/>
                <w:sz w:val="15"/>
              </w:rPr>
              <w:t>CHF 100 000</w:t>
            </w:r>
          </w:p>
        </w:tc>
      </w:tr>
    </w:tbl>
    <w:p>
      <w:pPr>
        <w:pStyle w:val="BodyText"/>
        <w:spacing w:before="1"/>
        <w:rPr>
          <w:sz w:val="17"/>
        </w:rPr>
      </w:pPr>
    </w:p>
    <w:p>
      <w:pPr>
        <w:pStyle w:val="ListParagraph"/>
        <w:numPr>
          <w:ilvl w:val="0"/>
          <w:numId w:val="15"/>
        </w:numPr>
        <w:tabs>
          <w:tab w:pos="334" w:val="left" w:leader="none"/>
        </w:tabs>
        <w:spacing w:line="240" w:lineRule="auto" w:before="101" w:after="0"/>
        <w:ind w:left="333" w:right="0" w:hanging="227"/>
        <w:jc w:val="left"/>
        <w:rPr>
          <w:sz w:val="13"/>
        </w:rPr>
      </w:pPr>
      <w:r>
        <w:rPr>
          <w:color w:val="586670"/>
          <w:sz w:val="13"/>
        </w:rPr>
        <w:t>The</w:t>
      </w:r>
      <w:r>
        <w:rPr>
          <w:color w:val="586670"/>
          <w:spacing w:val="-7"/>
          <w:sz w:val="13"/>
        </w:rPr>
        <w:t> </w:t>
      </w:r>
      <w:r>
        <w:rPr>
          <w:color w:val="586670"/>
          <w:sz w:val="13"/>
        </w:rPr>
        <w:t>Chairman</w:t>
      </w:r>
      <w:r>
        <w:rPr>
          <w:color w:val="586670"/>
          <w:spacing w:val="-7"/>
          <w:sz w:val="13"/>
        </w:rPr>
        <w:t> </w:t>
      </w:r>
      <w:r>
        <w:rPr>
          <w:color w:val="586670"/>
          <w:sz w:val="13"/>
        </w:rPr>
        <w:t>and</w:t>
      </w:r>
      <w:r>
        <w:rPr>
          <w:color w:val="586670"/>
          <w:spacing w:val="-7"/>
          <w:sz w:val="13"/>
        </w:rPr>
        <w:t> </w:t>
      </w:r>
      <w:r>
        <w:rPr>
          <w:color w:val="586670"/>
          <w:sz w:val="13"/>
        </w:rPr>
        <w:t>the</w:t>
      </w:r>
      <w:r>
        <w:rPr>
          <w:color w:val="586670"/>
          <w:spacing w:val="-6"/>
          <w:sz w:val="13"/>
        </w:rPr>
        <w:t> </w:t>
      </w:r>
      <w:r>
        <w:rPr>
          <w:color w:val="586670"/>
          <w:sz w:val="13"/>
        </w:rPr>
        <w:t>CEO</w:t>
      </w:r>
      <w:r>
        <w:rPr>
          <w:color w:val="586670"/>
          <w:spacing w:val="-7"/>
          <w:sz w:val="13"/>
        </w:rPr>
        <w:t> </w:t>
      </w:r>
      <w:r>
        <w:rPr>
          <w:color w:val="586670"/>
          <w:sz w:val="13"/>
        </w:rPr>
        <w:t>receive</w:t>
      </w:r>
      <w:r>
        <w:rPr>
          <w:color w:val="586670"/>
          <w:spacing w:val="-7"/>
          <w:sz w:val="13"/>
        </w:rPr>
        <w:t> </w:t>
      </w:r>
      <w:r>
        <w:rPr>
          <w:color w:val="586670"/>
          <w:sz w:val="13"/>
        </w:rPr>
        <w:t>no</w:t>
      </w:r>
      <w:r>
        <w:rPr>
          <w:color w:val="586670"/>
          <w:spacing w:val="-6"/>
          <w:sz w:val="13"/>
        </w:rPr>
        <w:t> </w:t>
      </w:r>
      <w:r>
        <w:rPr>
          <w:color w:val="586670"/>
          <w:sz w:val="13"/>
        </w:rPr>
        <w:t>Committee</w:t>
      </w:r>
      <w:r>
        <w:rPr>
          <w:color w:val="586670"/>
          <w:spacing w:val="-7"/>
          <w:sz w:val="13"/>
        </w:rPr>
        <w:t> </w:t>
      </w:r>
      <w:r>
        <w:rPr>
          <w:color w:val="586670"/>
          <w:sz w:val="13"/>
        </w:rPr>
        <w:t>fee.</w:t>
      </w:r>
    </w:p>
    <w:p>
      <w:pPr>
        <w:pStyle w:val="ListParagraph"/>
        <w:numPr>
          <w:ilvl w:val="0"/>
          <w:numId w:val="15"/>
        </w:numPr>
        <w:tabs>
          <w:tab w:pos="334" w:val="left" w:leader="none"/>
        </w:tabs>
        <w:spacing w:line="254" w:lineRule="auto" w:before="9" w:after="0"/>
        <w:ind w:left="333" w:right="1150" w:hanging="227"/>
        <w:jc w:val="left"/>
        <w:rPr>
          <w:sz w:val="13"/>
        </w:rPr>
      </w:pPr>
      <w:r>
        <w:rPr>
          <w:color w:val="586670"/>
          <w:sz w:val="13"/>
        </w:rPr>
        <w:t>The fees for Compensation Committee Members will be adjusted in 2014 to reflect </w:t>
      </w:r>
      <w:r>
        <w:rPr>
          <w:color w:val="586670"/>
          <w:spacing w:val="2"/>
          <w:sz w:val="13"/>
        </w:rPr>
        <w:t>increased </w:t>
      </w:r>
      <w:r>
        <w:rPr>
          <w:color w:val="586670"/>
          <w:sz w:val="13"/>
        </w:rPr>
        <w:t>complexity and responsibility under the new Swiss </w:t>
      </w:r>
      <w:r>
        <w:rPr>
          <w:color w:val="586670"/>
          <w:spacing w:val="2"/>
          <w:sz w:val="13"/>
        </w:rPr>
        <w:t>corporate </w:t>
      </w:r>
      <w:r>
        <w:rPr>
          <w:color w:val="586670"/>
          <w:sz w:val="13"/>
        </w:rPr>
        <w:t>law : CHF</w:t>
      </w:r>
      <w:r>
        <w:rPr>
          <w:color w:val="586670"/>
          <w:spacing w:val="-7"/>
          <w:sz w:val="13"/>
        </w:rPr>
        <w:t> </w:t>
      </w:r>
      <w:r>
        <w:rPr>
          <w:color w:val="586670"/>
          <w:sz w:val="13"/>
        </w:rPr>
        <w:t>150</w:t>
      </w:r>
      <w:r>
        <w:rPr>
          <w:color w:val="586670"/>
          <w:spacing w:val="-6"/>
          <w:sz w:val="13"/>
        </w:rPr>
        <w:t> </w:t>
      </w:r>
      <w:r>
        <w:rPr>
          <w:color w:val="586670"/>
          <w:spacing w:val="2"/>
          <w:sz w:val="13"/>
        </w:rPr>
        <w:t>000</w:t>
      </w:r>
      <w:r>
        <w:rPr>
          <w:color w:val="586670"/>
          <w:spacing w:val="-7"/>
          <w:sz w:val="13"/>
        </w:rPr>
        <w:t> </w:t>
      </w:r>
      <w:r>
        <w:rPr>
          <w:color w:val="586670"/>
          <w:sz w:val="13"/>
        </w:rPr>
        <w:t>for</w:t>
      </w:r>
      <w:r>
        <w:rPr>
          <w:color w:val="586670"/>
          <w:spacing w:val="-6"/>
          <w:sz w:val="13"/>
        </w:rPr>
        <w:t> </w:t>
      </w:r>
      <w:r>
        <w:rPr>
          <w:color w:val="586670"/>
          <w:sz w:val="13"/>
        </w:rPr>
        <w:t>the</w:t>
      </w:r>
      <w:r>
        <w:rPr>
          <w:color w:val="586670"/>
          <w:spacing w:val="-6"/>
          <w:sz w:val="13"/>
        </w:rPr>
        <w:t> </w:t>
      </w:r>
      <w:r>
        <w:rPr>
          <w:color w:val="586670"/>
          <w:sz w:val="13"/>
        </w:rPr>
        <w:t>Chair,</w:t>
      </w:r>
      <w:r>
        <w:rPr>
          <w:color w:val="586670"/>
          <w:spacing w:val="-7"/>
          <w:sz w:val="13"/>
        </w:rPr>
        <w:t> </w:t>
      </w:r>
      <w:r>
        <w:rPr>
          <w:color w:val="586670"/>
          <w:sz w:val="13"/>
        </w:rPr>
        <w:t>and</w:t>
      </w:r>
      <w:r>
        <w:rPr>
          <w:color w:val="586670"/>
          <w:spacing w:val="-6"/>
          <w:sz w:val="13"/>
        </w:rPr>
        <w:t> </w:t>
      </w:r>
      <w:r>
        <w:rPr>
          <w:color w:val="586670"/>
          <w:sz w:val="13"/>
        </w:rPr>
        <w:t>CHF</w:t>
      </w:r>
      <w:r>
        <w:rPr>
          <w:color w:val="586670"/>
          <w:spacing w:val="-7"/>
          <w:sz w:val="13"/>
        </w:rPr>
        <w:t> </w:t>
      </w:r>
      <w:r>
        <w:rPr>
          <w:color w:val="586670"/>
          <w:sz w:val="13"/>
        </w:rPr>
        <w:t>70</w:t>
      </w:r>
      <w:r>
        <w:rPr>
          <w:color w:val="586670"/>
          <w:spacing w:val="-6"/>
          <w:sz w:val="13"/>
        </w:rPr>
        <w:t> </w:t>
      </w:r>
      <w:r>
        <w:rPr>
          <w:color w:val="586670"/>
          <w:spacing w:val="2"/>
          <w:sz w:val="13"/>
        </w:rPr>
        <w:t>000</w:t>
      </w:r>
      <w:r>
        <w:rPr>
          <w:color w:val="586670"/>
          <w:spacing w:val="-6"/>
          <w:sz w:val="13"/>
        </w:rPr>
        <w:t> </w:t>
      </w:r>
      <w:r>
        <w:rPr>
          <w:color w:val="586670"/>
          <w:sz w:val="13"/>
        </w:rPr>
        <w:t>for</w:t>
      </w:r>
      <w:r>
        <w:rPr>
          <w:color w:val="586670"/>
          <w:spacing w:val="-7"/>
          <w:sz w:val="13"/>
        </w:rPr>
        <w:t> </w:t>
      </w:r>
      <w:r>
        <w:rPr>
          <w:color w:val="586670"/>
          <w:sz w:val="13"/>
        </w:rPr>
        <w:t>the</w:t>
      </w:r>
      <w:r>
        <w:rPr>
          <w:color w:val="586670"/>
          <w:spacing w:val="-6"/>
          <w:sz w:val="13"/>
        </w:rPr>
        <w:t> </w:t>
      </w:r>
      <w:r>
        <w:rPr>
          <w:color w:val="586670"/>
          <w:sz w:val="13"/>
        </w:rPr>
        <w:t>Members.</w:t>
      </w:r>
    </w:p>
    <w:p>
      <w:pPr>
        <w:pStyle w:val="BodyText"/>
        <w:rPr>
          <w:sz w:val="14"/>
        </w:rPr>
      </w:pPr>
    </w:p>
    <w:p>
      <w:pPr>
        <w:pStyle w:val="BodyText"/>
        <w:rPr>
          <w:sz w:val="14"/>
        </w:rPr>
      </w:pPr>
    </w:p>
    <w:p>
      <w:pPr>
        <w:pStyle w:val="Heading3"/>
        <w:spacing w:before="108"/>
        <w:ind w:left="106"/>
      </w:pPr>
      <w:r>
        <w:rPr>
          <w:color w:val="586670"/>
          <w:w w:val="110"/>
        </w:rPr>
        <w:t>Committee membership on 31 December 2013</w:t>
      </w:r>
    </w:p>
    <w:p>
      <w:pPr>
        <w:pStyle w:val="BodyText"/>
        <w:spacing w:before="9"/>
        <w:rPr>
          <w:b/>
          <w:sz w:val="21"/>
        </w:rPr>
      </w:pPr>
    </w:p>
    <w:tbl>
      <w:tblPr>
        <w:tblW w:w="0" w:type="auto"/>
        <w:jc w:val="left"/>
        <w:tblInd w:w="1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73"/>
        <w:gridCol w:w="2696"/>
        <w:gridCol w:w="1481"/>
        <w:gridCol w:w="1658"/>
        <w:gridCol w:w="2007"/>
      </w:tblGrid>
      <w:tr>
        <w:trPr>
          <w:trHeight w:val="477" w:hRule="atLeast"/>
        </w:trPr>
        <w:tc>
          <w:tcPr>
            <w:tcW w:w="2473" w:type="dxa"/>
            <w:tcBorders>
              <w:top w:val="single" w:sz="2" w:space="0" w:color="231F20"/>
              <w:bottom w:val="single" w:sz="2" w:space="0" w:color="231F20"/>
            </w:tcBorders>
          </w:tcPr>
          <w:p>
            <w:pPr>
              <w:pStyle w:val="TableParagraph"/>
              <w:spacing w:line="240" w:lineRule="auto" w:before="0"/>
              <w:rPr>
                <w:rFonts w:ascii="Times New Roman"/>
                <w:sz w:val="16"/>
              </w:rPr>
            </w:pPr>
          </w:p>
        </w:tc>
        <w:tc>
          <w:tcPr>
            <w:tcW w:w="2696" w:type="dxa"/>
            <w:tcBorders>
              <w:top w:val="single" w:sz="2" w:space="0" w:color="231F20"/>
              <w:bottom w:val="single" w:sz="2" w:space="0" w:color="231F20"/>
            </w:tcBorders>
          </w:tcPr>
          <w:p>
            <w:pPr>
              <w:pStyle w:val="TableParagraph"/>
              <w:spacing w:line="247" w:lineRule="auto"/>
              <w:ind w:left="815"/>
              <w:rPr>
                <w:sz w:val="15"/>
              </w:rPr>
            </w:pPr>
            <w:r>
              <w:rPr>
                <w:color w:val="231F20"/>
                <w:sz w:val="15"/>
              </w:rPr>
              <w:t>Chairman’s and Corporate Governance Committee</w:t>
            </w:r>
          </w:p>
        </w:tc>
        <w:tc>
          <w:tcPr>
            <w:tcW w:w="1481" w:type="dxa"/>
            <w:tcBorders>
              <w:top w:val="single" w:sz="2" w:space="0" w:color="231F20"/>
              <w:bottom w:val="single" w:sz="2" w:space="0" w:color="231F20"/>
            </w:tcBorders>
          </w:tcPr>
          <w:p>
            <w:pPr>
              <w:pStyle w:val="TableParagraph"/>
              <w:spacing w:line="247" w:lineRule="auto"/>
              <w:ind w:left="103"/>
              <w:rPr>
                <w:sz w:val="15"/>
              </w:rPr>
            </w:pPr>
            <w:r>
              <w:rPr>
                <w:color w:val="231F20"/>
                <w:sz w:val="15"/>
              </w:rPr>
              <w:t>Compensation Committee</w:t>
            </w:r>
          </w:p>
        </w:tc>
        <w:tc>
          <w:tcPr>
            <w:tcW w:w="1658" w:type="dxa"/>
            <w:tcBorders>
              <w:top w:val="single" w:sz="2" w:space="0" w:color="231F20"/>
              <w:bottom w:val="single" w:sz="2" w:space="0" w:color="231F20"/>
            </w:tcBorders>
          </w:tcPr>
          <w:p>
            <w:pPr>
              <w:pStyle w:val="TableParagraph"/>
              <w:spacing w:line="247" w:lineRule="auto"/>
              <w:ind w:left="379"/>
              <w:rPr>
                <w:sz w:val="15"/>
              </w:rPr>
            </w:pPr>
            <w:r>
              <w:rPr>
                <w:color w:val="231F20"/>
                <w:sz w:val="15"/>
              </w:rPr>
              <w:t>Nomination Committee</w:t>
            </w:r>
          </w:p>
        </w:tc>
        <w:tc>
          <w:tcPr>
            <w:tcW w:w="2007" w:type="dxa"/>
            <w:tcBorders>
              <w:top w:val="single" w:sz="2" w:space="0" w:color="231F20"/>
              <w:bottom w:val="single" w:sz="2" w:space="0" w:color="231F20"/>
            </w:tcBorders>
          </w:tcPr>
          <w:p>
            <w:pPr>
              <w:pStyle w:val="TableParagraph"/>
              <w:spacing w:line="247" w:lineRule="auto"/>
              <w:ind w:left="479" w:right="448"/>
              <w:rPr>
                <w:sz w:val="15"/>
              </w:rPr>
            </w:pPr>
            <w:r>
              <w:rPr>
                <w:color w:val="231F20"/>
                <w:sz w:val="15"/>
              </w:rPr>
              <w:t>Audit Committee</w:t>
            </w:r>
          </w:p>
        </w:tc>
      </w:tr>
      <w:tr>
        <w:trPr>
          <w:trHeight w:val="232" w:hRule="atLeast"/>
        </w:trPr>
        <w:tc>
          <w:tcPr>
            <w:tcW w:w="2473" w:type="dxa"/>
            <w:tcBorders>
              <w:top w:val="single" w:sz="2" w:space="0" w:color="231F20"/>
              <w:bottom w:val="single" w:sz="2" w:space="0" w:color="8F999F"/>
            </w:tcBorders>
          </w:tcPr>
          <w:p>
            <w:pPr>
              <w:pStyle w:val="TableParagraph"/>
              <w:spacing w:before="40"/>
              <w:rPr>
                <w:sz w:val="15"/>
              </w:rPr>
            </w:pPr>
            <w:r>
              <w:rPr>
                <w:color w:val="231F20"/>
                <w:sz w:val="15"/>
              </w:rPr>
              <w:t>Peter Brabeck-Letmathe</w:t>
            </w:r>
          </w:p>
        </w:tc>
        <w:tc>
          <w:tcPr>
            <w:tcW w:w="2696" w:type="dxa"/>
            <w:tcBorders>
              <w:top w:val="single" w:sz="2" w:space="0" w:color="231F20"/>
              <w:bottom w:val="single" w:sz="2" w:space="0" w:color="8F999F"/>
            </w:tcBorders>
          </w:tcPr>
          <w:p>
            <w:pPr>
              <w:pStyle w:val="TableParagraph"/>
              <w:numPr>
                <w:ilvl w:val="0"/>
                <w:numId w:val="16"/>
              </w:numPr>
              <w:tabs>
                <w:tab w:pos="931" w:val="left" w:leader="none"/>
              </w:tabs>
              <w:spacing w:line="172" w:lineRule="exact" w:before="40" w:after="0"/>
              <w:ind w:left="930" w:right="0" w:hanging="115"/>
              <w:jc w:val="left"/>
              <w:rPr>
                <w:sz w:val="15"/>
              </w:rPr>
            </w:pPr>
            <w:r>
              <w:rPr>
                <w:color w:val="231F20"/>
                <w:sz w:val="15"/>
              </w:rPr>
              <w:t>(Chair)</w:t>
            </w:r>
          </w:p>
        </w:tc>
        <w:tc>
          <w:tcPr>
            <w:tcW w:w="1481" w:type="dxa"/>
            <w:tcBorders>
              <w:top w:val="single" w:sz="2" w:space="0" w:color="231F20"/>
              <w:bottom w:val="single" w:sz="2" w:space="0" w:color="8F999F"/>
            </w:tcBorders>
          </w:tcPr>
          <w:p>
            <w:pPr>
              <w:pStyle w:val="TableParagraph"/>
              <w:spacing w:line="240" w:lineRule="auto" w:before="0"/>
              <w:rPr>
                <w:rFonts w:ascii="Times New Roman"/>
                <w:sz w:val="16"/>
              </w:rPr>
            </w:pPr>
          </w:p>
        </w:tc>
        <w:tc>
          <w:tcPr>
            <w:tcW w:w="1658" w:type="dxa"/>
            <w:tcBorders>
              <w:top w:val="single" w:sz="2" w:space="0" w:color="231F20"/>
              <w:bottom w:val="single" w:sz="2" w:space="0" w:color="8F999F"/>
            </w:tcBorders>
          </w:tcPr>
          <w:p>
            <w:pPr>
              <w:pStyle w:val="TableParagraph"/>
              <w:spacing w:before="40"/>
              <w:ind w:left="379"/>
              <w:rPr>
                <w:sz w:val="15"/>
              </w:rPr>
            </w:pPr>
            <w:r>
              <w:rPr>
                <w:color w:val="0083CA"/>
                <w:w w:val="98"/>
                <w:sz w:val="15"/>
              </w:rPr>
              <w:t>•</w:t>
            </w:r>
          </w:p>
        </w:tc>
        <w:tc>
          <w:tcPr>
            <w:tcW w:w="2007" w:type="dxa"/>
            <w:tcBorders>
              <w:top w:val="single" w:sz="2" w:space="0" w:color="231F20"/>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Paul Bulcke</w:t>
            </w:r>
          </w:p>
        </w:tc>
        <w:tc>
          <w:tcPr>
            <w:tcW w:w="2696" w:type="dxa"/>
            <w:tcBorders>
              <w:top w:val="single" w:sz="2" w:space="0" w:color="8F999F"/>
              <w:bottom w:val="single" w:sz="2" w:space="0" w:color="8F999F"/>
            </w:tcBorders>
          </w:tcPr>
          <w:p>
            <w:pPr>
              <w:pStyle w:val="TableParagraph"/>
              <w:ind w:left="815"/>
              <w:rPr>
                <w:sz w:val="15"/>
              </w:rPr>
            </w:pPr>
            <w:r>
              <w:rPr>
                <w:color w:val="0083CA"/>
                <w:w w:val="98"/>
                <w:sz w:val="15"/>
              </w:rPr>
              <w:t>•</w:t>
            </w:r>
          </w:p>
        </w:tc>
        <w:tc>
          <w:tcPr>
            <w:tcW w:w="1481"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w w:val="105"/>
                <w:sz w:val="15"/>
              </w:rPr>
              <w:t>Andreas Koopmann</w:t>
            </w:r>
          </w:p>
        </w:tc>
        <w:tc>
          <w:tcPr>
            <w:tcW w:w="2696" w:type="dxa"/>
            <w:tcBorders>
              <w:top w:val="single" w:sz="2" w:space="0" w:color="8F999F"/>
              <w:bottom w:val="single" w:sz="2" w:space="0" w:color="8F999F"/>
            </w:tcBorders>
          </w:tcPr>
          <w:p>
            <w:pPr>
              <w:pStyle w:val="TableParagraph"/>
              <w:ind w:left="815"/>
              <w:rPr>
                <w:sz w:val="15"/>
              </w:rPr>
            </w:pPr>
            <w:r>
              <w:rPr>
                <w:color w:val="0083CA"/>
                <w:w w:val="98"/>
                <w:sz w:val="15"/>
              </w:rPr>
              <w:t>•</w:t>
            </w:r>
          </w:p>
        </w:tc>
        <w:tc>
          <w:tcPr>
            <w:tcW w:w="1481" w:type="dxa"/>
            <w:tcBorders>
              <w:top w:val="single" w:sz="2" w:space="0" w:color="8F999F"/>
              <w:bottom w:val="single" w:sz="2" w:space="0" w:color="8F999F"/>
            </w:tcBorders>
          </w:tcPr>
          <w:p>
            <w:pPr>
              <w:pStyle w:val="TableParagraph"/>
              <w:ind w:left="103"/>
              <w:rPr>
                <w:sz w:val="15"/>
              </w:rPr>
            </w:pPr>
            <w:r>
              <w:rPr>
                <w:color w:val="0083CA"/>
                <w:w w:val="98"/>
                <w:sz w:val="15"/>
              </w:rPr>
              <w:t>•</w:t>
            </w:r>
          </w:p>
        </w:tc>
        <w:tc>
          <w:tcPr>
            <w:tcW w:w="1658" w:type="dxa"/>
            <w:tcBorders>
              <w:top w:val="single" w:sz="2" w:space="0" w:color="8F999F"/>
              <w:bottom w:val="single" w:sz="2" w:space="0" w:color="8F999F"/>
            </w:tcBorders>
          </w:tcPr>
          <w:p>
            <w:pPr>
              <w:pStyle w:val="TableParagraph"/>
              <w:numPr>
                <w:ilvl w:val="0"/>
                <w:numId w:val="17"/>
              </w:numPr>
              <w:tabs>
                <w:tab w:pos="495" w:val="left" w:leader="none"/>
              </w:tabs>
              <w:spacing w:line="172" w:lineRule="exact" w:before="43" w:after="0"/>
              <w:ind w:left="494" w:right="0" w:hanging="115"/>
              <w:jc w:val="left"/>
              <w:rPr>
                <w:sz w:val="15"/>
              </w:rPr>
            </w:pPr>
            <w:r>
              <w:rPr>
                <w:color w:val="231F20"/>
                <w:sz w:val="15"/>
              </w:rPr>
              <w:t>(Chair)</w:t>
            </w: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Rolf Hänggi</w:t>
            </w:r>
          </w:p>
        </w:tc>
        <w:tc>
          <w:tcPr>
            <w:tcW w:w="2696" w:type="dxa"/>
            <w:tcBorders>
              <w:top w:val="single" w:sz="2" w:space="0" w:color="8F999F"/>
              <w:bottom w:val="single" w:sz="2" w:space="0" w:color="8F999F"/>
            </w:tcBorders>
          </w:tcPr>
          <w:p>
            <w:pPr>
              <w:pStyle w:val="TableParagraph"/>
              <w:ind w:left="815"/>
              <w:rPr>
                <w:sz w:val="15"/>
              </w:rPr>
            </w:pPr>
            <w:r>
              <w:rPr>
                <w:color w:val="0083CA"/>
                <w:w w:val="98"/>
                <w:sz w:val="15"/>
              </w:rPr>
              <w:t>•</w:t>
            </w:r>
          </w:p>
        </w:tc>
        <w:tc>
          <w:tcPr>
            <w:tcW w:w="1481"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numPr>
                <w:ilvl w:val="0"/>
                <w:numId w:val="18"/>
              </w:numPr>
              <w:tabs>
                <w:tab w:pos="595" w:val="left" w:leader="none"/>
              </w:tabs>
              <w:spacing w:line="172" w:lineRule="exact" w:before="43" w:after="0"/>
              <w:ind w:left="594" w:right="0" w:hanging="115"/>
              <w:jc w:val="left"/>
              <w:rPr>
                <w:sz w:val="15"/>
              </w:rPr>
            </w:pPr>
            <w:r>
              <w:rPr>
                <w:color w:val="231F20"/>
                <w:sz w:val="15"/>
              </w:rPr>
              <w:t>(Chair)</w:t>
            </w: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w w:val="105"/>
                <w:sz w:val="15"/>
              </w:rPr>
              <w:t>Beat Hess</w:t>
            </w:r>
          </w:p>
        </w:tc>
        <w:tc>
          <w:tcPr>
            <w:tcW w:w="2696" w:type="dxa"/>
            <w:tcBorders>
              <w:top w:val="single" w:sz="2" w:space="0" w:color="8F999F"/>
              <w:bottom w:val="single" w:sz="2" w:space="0" w:color="8F999F"/>
            </w:tcBorders>
          </w:tcPr>
          <w:p>
            <w:pPr>
              <w:pStyle w:val="TableParagraph"/>
              <w:ind w:left="815"/>
              <w:rPr>
                <w:sz w:val="15"/>
              </w:rPr>
            </w:pPr>
            <w:r>
              <w:rPr>
                <w:color w:val="0083CA"/>
                <w:w w:val="98"/>
                <w:sz w:val="15"/>
              </w:rPr>
              <w:t>•</w:t>
            </w:r>
          </w:p>
        </w:tc>
        <w:tc>
          <w:tcPr>
            <w:tcW w:w="1481"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Daniel Borel</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1" w:type="dxa"/>
            <w:tcBorders>
              <w:top w:val="single" w:sz="2" w:space="0" w:color="8F999F"/>
              <w:bottom w:val="single" w:sz="2" w:space="0" w:color="8F999F"/>
            </w:tcBorders>
          </w:tcPr>
          <w:p>
            <w:pPr>
              <w:pStyle w:val="TableParagraph"/>
              <w:numPr>
                <w:ilvl w:val="0"/>
                <w:numId w:val="19"/>
              </w:numPr>
              <w:tabs>
                <w:tab w:pos="219" w:val="left" w:leader="none"/>
              </w:tabs>
              <w:spacing w:line="172" w:lineRule="exact" w:before="43" w:after="0"/>
              <w:ind w:left="218" w:right="0" w:hanging="115"/>
              <w:jc w:val="left"/>
              <w:rPr>
                <w:sz w:val="15"/>
              </w:rPr>
            </w:pPr>
            <w:r>
              <w:rPr>
                <w:color w:val="231F20"/>
                <w:sz w:val="15"/>
              </w:rPr>
              <w:t>(Chair)</w:t>
            </w: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Jean-Pierre Meyers</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1" w:type="dxa"/>
            <w:tcBorders>
              <w:top w:val="single" w:sz="2" w:space="0" w:color="8F999F"/>
              <w:bottom w:val="single" w:sz="2" w:space="0" w:color="8F999F"/>
            </w:tcBorders>
          </w:tcPr>
          <w:p>
            <w:pPr>
              <w:pStyle w:val="TableParagraph"/>
              <w:ind w:left="103"/>
              <w:rPr>
                <w:sz w:val="15"/>
              </w:rPr>
            </w:pPr>
            <w:r>
              <w:rPr>
                <w:color w:val="0083CA"/>
                <w:w w:val="98"/>
                <w:sz w:val="15"/>
              </w:rPr>
              <w:t>•</w:t>
            </w: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w w:val="105"/>
                <w:sz w:val="15"/>
              </w:rPr>
              <w:t>Steven G. Hoch</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1"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8" w:type="dxa"/>
            <w:tcBorders>
              <w:top w:val="single" w:sz="2" w:space="0" w:color="8F999F"/>
              <w:bottom w:val="single" w:sz="2" w:space="0" w:color="8F999F"/>
            </w:tcBorders>
          </w:tcPr>
          <w:p>
            <w:pPr>
              <w:pStyle w:val="TableParagraph"/>
              <w:ind w:left="379"/>
              <w:rPr>
                <w:sz w:val="15"/>
              </w:rPr>
            </w:pPr>
            <w:r>
              <w:rPr>
                <w:color w:val="0083CA"/>
                <w:w w:val="98"/>
                <w:sz w:val="15"/>
              </w:rPr>
              <w:t>•</w:t>
            </w: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Naïna Lal Kidwai</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1"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ind w:left="479"/>
              <w:rPr>
                <w:sz w:val="15"/>
              </w:rPr>
            </w:pPr>
            <w:r>
              <w:rPr>
                <w:color w:val="0083CA"/>
                <w:w w:val="98"/>
                <w:sz w:val="15"/>
              </w:rPr>
              <w:t>•</w:t>
            </w: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Titia de Lange</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1"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Jean-Pierre Roth</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1" w:type="dxa"/>
            <w:tcBorders>
              <w:top w:val="single" w:sz="2" w:space="0" w:color="8F999F"/>
              <w:bottom w:val="single" w:sz="2" w:space="0" w:color="8F999F"/>
            </w:tcBorders>
          </w:tcPr>
          <w:p>
            <w:pPr>
              <w:pStyle w:val="TableParagraph"/>
              <w:ind w:left="103"/>
              <w:rPr>
                <w:sz w:val="15"/>
              </w:rPr>
            </w:pPr>
            <w:r>
              <w:rPr>
                <w:color w:val="0083CA"/>
                <w:w w:val="98"/>
                <w:sz w:val="15"/>
              </w:rPr>
              <w:t>•</w:t>
            </w: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w w:val="105"/>
                <w:sz w:val="15"/>
              </w:rPr>
              <w:t>Ann M. Veneman</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1"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8" w:type="dxa"/>
            <w:tcBorders>
              <w:top w:val="single" w:sz="2" w:space="0" w:color="8F999F"/>
              <w:bottom w:val="single" w:sz="2" w:space="0" w:color="8F999F"/>
            </w:tcBorders>
          </w:tcPr>
          <w:p>
            <w:pPr>
              <w:pStyle w:val="TableParagraph"/>
              <w:ind w:left="379"/>
              <w:rPr>
                <w:sz w:val="15"/>
              </w:rPr>
            </w:pPr>
            <w:r>
              <w:rPr>
                <w:color w:val="0083CA"/>
                <w:w w:val="98"/>
                <w:sz w:val="15"/>
              </w:rPr>
              <w:t>•</w:t>
            </w: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sz w:val="15"/>
              </w:rPr>
              <w:t>Henri de Castries</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1"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ind w:left="479"/>
              <w:rPr>
                <w:sz w:val="15"/>
              </w:rPr>
            </w:pPr>
            <w:r>
              <w:rPr>
                <w:color w:val="0083CA"/>
                <w:w w:val="98"/>
                <w:sz w:val="15"/>
              </w:rPr>
              <w:t>•</w:t>
            </w:r>
          </w:p>
        </w:tc>
      </w:tr>
      <w:tr>
        <w:trPr>
          <w:trHeight w:val="235" w:hRule="atLeast"/>
        </w:trPr>
        <w:tc>
          <w:tcPr>
            <w:tcW w:w="2473" w:type="dxa"/>
            <w:tcBorders>
              <w:top w:val="single" w:sz="2" w:space="0" w:color="8F999F"/>
              <w:bottom w:val="single" w:sz="2" w:space="0" w:color="8F999F"/>
            </w:tcBorders>
          </w:tcPr>
          <w:p>
            <w:pPr>
              <w:pStyle w:val="TableParagraph"/>
              <w:rPr>
                <w:sz w:val="15"/>
              </w:rPr>
            </w:pPr>
            <w:r>
              <w:rPr>
                <w:color w:val="231F20"/>
                <w:w w:val="105"/>
                <w:sz w:val="15"/>
              </w:rPr>
              <w:t>Eva Cheng</w:t>
            </w:r>
          </w:p>
        </w:tc>
        <w:tc>
          <w:tcPr>
            <w:tcW w:w="2696"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481"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1658" w:type="dxa"/>
            <w:tcBorders>
              <w:top w:val="single" w:sz="2" w:space="0" w:color="8F999F"/>
              <w:bottom w:val="single" w:sz="2" w:space="0" w:color="8F999F"/>
            </w:tcBorders>
          </w:tcPr>
          <w:p>
            <w:pPr>
              <w:pStyle w:val="TableParagraph"/>
              <w:spacing w:line="240" w:lineRule="auto" w:before="0"/>
              <w:rPr>
                <w:rFonts w:ascii="Times New Roman"/>
                <w:sz w:val="16"/>
              </w:rPr>
            </w:pPr>
          </w:p>
        </w:tc>
        <w:tc>
          <w:tcPr>
            <w:tcW w:w="2007" w:type="dxa"/>
            <w:tcBorders>
              <w:top w:val="single" w:sz="2" w:space="0" w:color="8F999F"/>
              <w:bottom w:val="single" w:sz="2" w:space="0" w:color="8F999F"/>
            </w:tcBorders>
          </w:tcPr>
          <w:p>
            <w:pPr>
              <w:pStyle w:val="TableParagraph"/>
              <w:spacing w:line="240" w:lineRule="auto" w:before="0"/>
              <w:rPr>
                <w:rFonts w:ascii="Times New Roman"/>
                <w:sz w:val="16"/>
              </w:rPr>
            </w:pPr>
          </w:p>
        </w:tc>
      </w:tr>
    </w:tbl>
    <w:p>
      <w:pPr>
        <w:pStyle w:val="BodyText"/>
        <w:spacing w:before="8"/>
        <w:rPr>
          <w:b/>
          <w:sz w:val="21"/>
        </w:rPr>
      </w:pPr>
    </w:p>
    <w:p>
      <w:pPr>
        <w:pStyle w:val="BodyText"/>
        <w:spacing w:line="276" w:lineRule="auto"/>
        <w:ind w:left="106" w:right="1430"/>
      </w:pPr>
      <w:r>
        <w:rPr>
          <w:color w:val="231F20"/>
          <w:w w:val="105"/>
        </w:rPr>
        <w:t>The above fees and allowances cover the period between the Annual General Meeting 2013 and the Annual General Meeting 2014. Board membership and Committee fees are paid 50% in cash and 50% in Nestlé S.A. shares, which are subject to a three-year blocking period.</w:t>
      </w:r>
    </w:p>
    <w:p>
      <w:pPr>
        <w:pStyle w:val="BodyText"/>
        <w:spacing w:line="276" w:lineRule="auto"/>
        <w:ind w:left="106" w:right="1676" w:firstLine="226"/>
      </w:pPr>
      <w:r>
        <w:rPr>
          <w:color w:val="231F20"/>
        </w:rPr>
        <w:t>The number of Nestlé S.A. shares is determined by taking the closing price of the share on the SIX Swiss Exchange on the ex-dividend date of the respective financial year, discounted by 16.038% to account for the blocking period of three years. In 2013, the value was CHF 55.04.</w:t>
      </w:r>
    </w:p>
    <w:p>
      <w:pPr>
        <w:spacing w:after="0" w:line="276" w:lineRule="auto"/>
        <w:sectPr>
          <w:pgSz w:w="11910" w:h="14750"/>
          <w:pgMar w:header="642" w:footer="509" w:top="840" w:bottom="700" w:left="460" w:right="460"/>
        </w:sectPr>
      </w:pPr>
    </w:p>
    <w:p>
      <w:pPr>
        <w:pStyle w:val="BodyText"/>
        <w:rPr>
          <w:sz w:val="20"/>
        </w:rPr>
      </w:pPr>
    </w:p>
    <w:p>
      <w:pPr>
        <w:pStyle w:val="BodyText"/>
        <w:rPr>
          <w:sz w:val="20"/>
        </w:rPr>
      </w:pPr>
    </w:p>
    <w:p>
      <w:pPr>
        <w:pStyle w:val="BodyText"/>
        <w:spacing w:before="4"/>
        <w:rPr>
          <w:sz w:val="24"/>
        </w:rPr>
      </w:pPr>
    </w:p>
    <w:tbl>
      <w:tblPr>
        <w:tblW w:w="0" w:type="auto"/>
        <w:jc w:val="left"/>
        <w:tblInd w:w="5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532"/>
        <w:gridCol w:w="1783"/>
        <w:gridCol w:w="1729"/>
        <w:gridCol w:w="1932"/>
        <w:gridCol w:w="1339"/>
      </w:tblGrid>
      <w:tr>
        <w:trPr>
          <w:trHeight w:val="468" w:hRule="atLeast"/>
        </w:trPr>
        <w:tc>
          <w:tcPr>
            <w:tcW w:w="3532" w:type="dxa"/>
            <w:tcBorders>
              <w:bottom w:val="single" w:sz="2" w:space="0" w:color="231F20"/>
            </w:tcBorders>
          </w:tcPr>
          <w:p>
            <w:pPr>
              <w:pStyle w:val="TableParagraph"/>
              <w:spacing w:line="240" w:lineRule="auto" w:before="8"/>
              <w:rPr>
                <w:b/>
                <w:sz w:val="18"/>
              </w:rPr>
            </w:pPr>
            <w:r>
              <w:rPr>
                <w:b/>
                <w:color w:val="586670"/>
                <w:w w:val="110"/>
                <w:sz w:val="18"/>
              </w:rPr>
              <w:t>Summary of compensation 2013</w:t>
            </w:r>
          </w:p>
        </w:tc>
        <w:tc>
          <w:tcPr>
            <w:tcW w:w="6783" w:type="dxa"/>
            <w:gridSpan w:val="4"/>
            <w:tcBorders>
              <w:bottom w:val="single" w:sz="2" w:space="0" w:color="231F20"/>
            </w:tcBorders>
          </w:tcPr>
          <w:p>
            <w:pPr>
              <w:pStyle w:val="TableParagraph"/>
              <w:spacing w:line="240" w:lineRule="auto" w:before="0"/>
              <w:rPr>
                <w:rFonts w:ascii="Times New Roman"/>
                <w:sz w:val="16"/>
              </w:rPr>
            </w:pPr>
          </w:p>
        </w:tc>
      </w:tr>
      <w:tr>
        <w:trPr>
          <w:trHeight w:val="477" w:hRule="atLeast"/>
        </w:trPr>
        <w:tc>
          <w:tcPr>
            <w:tcW w:w="3532" w:type="dxa"/>
            <w:tcBorders>
              <w:top w:val="single" w:sz="2" w:space="0" w:color="231F20"/>
              <w:bottom w:val="single" w:sz="2" w:space="0" w:color="231F20"/>
            </w:tcBorders>
          </w:tcPr>
          <w:p>
            <w:pPr>
              <w:pStyle w:val="TableParagraph"/>
              <w:spacing w:line="240" w:lineRule="auto" w:before="0"/>
              <w:rPr>
                <w:rFonts w:ascii="Times New Roman"/>
                <w:sz w:val="16"/>
              </w:rPr>
            </w:pPr>
          </w:p>
        </w:tc>
        <w:tc>
          <w:tcPr>
            <w:tcW w:w="1783" w:type="dxa"/>
            <w:tcBorders>
              <w:top w:val="single" w:sz="2" w:space="0" w:color="231F20"/>
              <w:bottom w:val="single" w:sz="2" w:space="0" w:color="231F20"/>
            </w:tcBorders>
          </w:tcPr>
          <w:p>
            <w:pPr>
              <w:pStyle w:val="TableParagraph"/>
              <w:spacing w:line="240" w:lineRule="auto" w:before="2"/>
              <w:rPr>
                <w:sz w:val="19"/>
              </w:rPr>
            </w:pPr>
          </w:p>
          <w:p>
            <w:pPr>
              <w:pStyle w:val="TableParagraph"/>
              <w:spacing w:line="240" w:lineRule="auto" w:before="0"/>
              <w:ind w:right="267"/>
              <w:jc w:val="right"/>
              <w:rPr>
                <w:sz w:val="10"/>
              </w:rPr>
            </w:pPr>
            <w:r>
              <w:rPr>
                <w:color w:val="231F20"/>
                <w:w w:val="105"/>
                <w:sz w:val="15"/>
              </w:rPr>
              <w:t>Cash in CHF </w:t>
            </w:r>
            <w:r>
              <w:rPr>
                <w:color w:val="231F20"/>
                <w:w w:val="105"/>
                <w:position w:val="4"/>
                <w:sz w:val="10"/>
              </w:rPr>
              <w:t>(a)</w:t>
            </w:r>
          </w:p>
        </w:tc>
        <w:tc>
          <w:tcPr>
            <w:tcW w:w="1729" w:type="dxa"/>
            <w:tcBorders>
              <w:top w:val="single" w:sz="2" w:space="0" w:color="231F20"/>
              <w:bottom w:val="single" w:sz="2" w:space="0" w:color="231F20"/>
            </w:tcBorders>
          </w:tcPr>
          <w:p>
            <w:pPr>
              <w:pStyle w:val="TableParagraph"/>
              <w:spacing w:line="240" w:lineRule="auto" w:before="2"/>
              <w:rPr>
                <w:sz w:val="19"/>
              </w:rPr>
            </w:pPr>
          </w:p>
          <w:p>
            <w:pPr>
              <w:pStyle w:val="TableParagraph"/>
              <w:spacing w:line="240" w:lineRule="auto" w:before="0"/>
              <w:ind w:right="238"/>
              <w:jc w:val="right"/>
              <w:rPr>
                <w:sz w:val="15"/>
              </w:rPr>
            </w:pPr>
            <w:r>
              <w:rPr>
                <w:color w:val="231F20"/>
                <w:sz w:val="15"/>
              </w:rPr>
              <w:t>Number of shares</w:t>
            </w:r>
          </w:p>
        </w:tc>
        <w:tc>
          <w:tcPr>
            <w:tcW w:w="1932" w:type="dxa"/>
            <w:tcBorders>
              <w:top w:val="single" w:sz="2" w:space="0" w:color="231F20"/>
              <w:bottom w:val="single" w:sz="2" w:space="0" w:color="231F20"/>
            </w:tcBorders>
          </w:tcPr>
          <w:p>
            <w:pPr>
              <w:pStyle w:val="TableParagraph"/>
              <w:spacing w:line="247" w:lineRule="auto"/>
              <w:ind w:left="242" w:right="410" w:firstLine="260"/>
              <w:rPr>
                <w:sz w:val="10"/>
              </w:rPr>
            </w:pPr>
            <w:r>
              <w:rPr>
                <w:color w:val="231F20"/>
                <w:sz w:val="15"/>
              </w:rPr>
              <w:t>Discount value of shares in CHF </w:t>
            </w:r>
            <w:r>
              <w:rPr>
                <w:color w:val="231F20"/>
                <w:position w:val="4"/>
                <w:sz w:val="10"/>
              </w:rPr>
              <w:t>(b)</w:t>
            </w:r>
          </w:p>
        </w:tc>
        <w:tc>
          <w:tcPr>
            <w:tcW w:w="1339" w:type="dxa"/>
            <w:tcBorders>
              <w:top w:val="single" w:sz="2" w:space="0" w:color="231F20"/>
              <w:bottom w:val="single" w:sz="2" w:space="0" w:color="231F20"/>
            </w:tcBorders>
          </w:tcPr>
          <w:p>
            <w:pPr>
              <w:pStyle w:val="TableParagraph"/>
              <w:spacing w:line="247" w:lineRule="auto"/>
              <w:ind w:left="418" w:right="-28" w:firstLine="596"/>
              <w:rPr>
                <w:sz w:val="15"/>
              </w:rPr>
            </w:pPr>
            <w:r>
              <w:rPr>
                <w:color w:val="231F20"/>
                <w:w w:val="95"/>
                <w:sz w:val="15"/>
              </w:rPr>
              <w:t>Total </w:t>
            </w:r>
            <w:r>
              <w:rPr>
                <w:color w:val="231F20"/>
                <w:sz w:val="15"/>
              </w:rPr>
              <w:t>remuneration</w:t>
            </w:r>
          </w:p>
        </w:tc>
      </w:tr>
      <w:tr>
        <w:trPr>
          <w:trHeight w:val="232" w:hRule="atLeast"/>
        </w:trPr>
        <w:tc>
          <w:tcPr>
            <w:tcW w:w="3532" w:type="dxa"/>
            <w:tcBorders>
              <w:top w:val="single" w:sz="2" w:space="0" w:color="231F20"/>
              <w:bottom w:val="single" w:sz="2" w:space="0" w:color="8F999F"/>
            </w:tcBorders>
          </w:tcPr>
          <w:p>
            <w:pPr>
              <w:pStyle w:val="TableParagraph"/>
              <w:spacing w:before="40"/>
              <w:rPr>
                <w:sz w:val="10"/>
              </w:rPr>
            </w:pPr>
            <w:r>
              <w:rPr>
                <w:color w:val="231F20"/>
                <w:sz w:val="15"/>
              </w:rPr>
              <w:t>Peter Brabeck-Letmathe, Chairman </w:t>
            </w:r>
            <w:r>
              <w:rPr>
                <w:color w:val="231F20"/>
                <w:position w:val="4"/>
                <w:sz w:val="10"/>
              </w:rPr>
              <w:t>(c)</w:t>
            </w:r>
          </w:p>
        </w:tc>
        <w:tc>
          <w:tcPr>
            <w:tcW w:w="1783" w:type="dxa"/>
            <w:tcBorders>
              <w:top w:val="single" w:sz="2" w:space="0" w:color="231F20"/>
              <w:bottom w:val="single" w:sz="2" w:space="0" w:color="8F999F"/>
            </w:tcBorders>
          </w:tcPr>
          <w:p>
            <w:pPr>
              <w:pStyle w:val="TableParagraph"/>
              <w:spacing w:before="40"/>
              <w:ind w:right="267"/>
              <w:jc w:val="right"/>
              <w:rPr>
                <w:sz w:val="15"/>
              </w:rPr>
            </w:pPr>
            <w:r>
              <w:rPr>
                <w:color w:val="0083CA"/>
                <w:w w:val="105"/>
                <w:sz w:val="15"/>
              </w:rPr>
              <w:t>1 600 000</w:t>
            </w:r>
          </w:p>
        </w:tc>
        <w:tc>
          <w:tcPr>
            <w:tcW w:w="1729" w:type="dxa"/>
            <w:tcBorders>
              <w:top w:val="single" w:sz="2" w:space="0" w:color="231F20"/>
              <w:bottom w:val="single" w:sz="2" w:space="0" w:color="8F999F"/>
            </w:tcBorders>
          </w:tcPr>
          <w:p>
            <w:pPr>
              <w:pStyle w:val="TableParagraph"/>
              <w:spacing w:before="40"/>
              <w:ind w:right="238"/>
              <w:jc w:val="right"/>
              <w:rPr>
                <w:sz w:val="15"/>
              </w:rPr>
            </w:pPr>
            <w:r>
              <w:rPr>
                <w:color w:val="0083CA"/>
                <w:w w:val="105"/>
                <w:sz w:val="15"/>
              </w:rPr>
              <w:t>97 636</w:t>
            </w:r>
          </w:p>
        </w:tc>
        <w:tc>
          <w:tcPr>
            <w:tcW w:w="1932" w:type="dxa"/>
            <w:tcBorders>
              <w:top w:val="single" w:sz="2" w:space="0" w:color="231F20"/>
              <w:bottom w:val="single" w:sz="2" w:space="0" w:color="8F999F"/>
            </w:tcBorders>
          </w:tcPr>
          <w:p>
            <w:pPr>
              <w:pStyle w:val="TableParagraph"/>
              <w:spacing w:before="40"/>
              <w:ind w:right="413"/>
              <w:jc w:val="right"/>
              <w:rPr>
                <w:sz w:val="15"/>
              </w:rPr>
            </w:pPr>
            <w:r>
              <w:rPr>
                <w:color w:val="0083CA"/>
                <w:w w:val="105"/>
                <w:sz w:val="15"/>
              </w:rPr>
              <w:t>5 373 885</w:t>
            </w:r>
          </w:p>
        </w:tc>
        <w:tc>
          <w:tcPr>
            <w:tcW w:w="1339" w:type="dxa"/>
            <w:tcBorders>
              <w:top w:val="single" w:sz="2" w:space="0" w:color="231F20"/>
              <w:bottom w:val="single" w:sz="2" w:space="0" w:color="8F999F"/>
            </w:tcBorders>
          </w:tcPr>
          <w:p>
            <w:pPr>
              <w:pStyle w:val="TableParagraph"/>
              <w:spacing w:before="40"/>
              <w:ind w:right="-15"/>
              <w:jc w:val="right"/>
              <w:rPr>
                <w:sz w:val="15"/>
              </w:rPr>
            </w:pPr>
            <w:r>
              <w:rPr>
                <w:color w:val="0083CA"/>
                <w:w w:val="105"/>
                <w:sz w:val="15"/>
              </w:rPr>
              <w:t>6 973 885</w:t>
            </w:r>
          </w:p>
        </w:tc>
      </w:tr>
      <w:tr>
        <w:trPr>
          <w:trHeight w:val="235" w:hRule="atLeast"/>
        </w:trPr>
        <w:tc>
          <w:tcPr>
            <w:tcW w:w="3532" w:type="dxa"/>
            <w:tcBorders>
              <w:top w:val="single" w:sz="2" w:space="0" w:color="8F999F"/>
              <w:bottom w:val="single" w:sz="2" w:space="0" w:color="8F999F"/>
            </w:tcBorders>
          </w:tcPr>
          <w:p>
            <w:pPr>
              <w:pStyle w:val="TableParagraph"/>
              <w:rPr>
                <w:sz w:val="10"/>
              </w:rPr>
            </w:pPr>
            <w:r>
              <w:rPr>
                <w:color w:val="231F20"/>
                <w:sz w:val="15"/>
              </w:rPr>
              <w:t>Paul Bulcke, Chief Executive Officer </w:t>
            </w:r>
            <w:r>
              <w:rPr>
                <w:color w:val="231F20"/>
                <w:position w:val="4"/>
                <w:sz w:val="10"/>
              </w:rPr>
              <w:t>(c)</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39"/>
                <w:sz w:val="15"/>
              </w:rPr>
              <w:t>–</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39"/>
                <w:sz w:val="15"/>
              </w:rPr>
              <w:t>–</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39"/>
                <w:sz w:val="15"/>
              </w:rPr>
              <w:t>–</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39"/>
                <w:sz w:val="15"/>
              </w:rPr>
              <w:t>–</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sz w:val="15"/>
              </w:rPr>
              <w:t>Andreas Koopmann, 1st Vice Chairman</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325 000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4 730</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260 339</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585 339</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sz w:val="15"/>
              </w:rPr>
              <w:t>Rolf Hänggi, 2nd Vice Chairman</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330 000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4 806</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264 522</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594 522</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w w:val="105"/>
                <w:sz w:val="15"/>
              </w:rPr>
              <w:t>Beat Hess</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255 000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3 662</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201 556</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456 556</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sz w:val="15"/>
              </w:rPr>
              <w:t>Daniel Borel</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205 000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2 899</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159 561</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364 561</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sz w:val="15"/>
              </w:rPr>
              <w:t>Jean-Pierre Meyers</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175 000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2 441</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134 353</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309 353</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w w:val="105"/>
                <w:sz w:val="15"/>
              </w:rPr>
              <w:t>Steven G. Hoch</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175 000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2 441</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134 353</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309 353</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sz w:val="15"/>
              </w:rPr>
              <w:t>Naïna Lal Kidwai</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205 000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2 899</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159 561</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364 561</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sz w:val="15"/>
              </w:rPr>
              <w:t>Titia de Lange</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155 000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2 136</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117 565</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272 565</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sz w:val="15"/>
              </w:rPr>
              <w:t>Jean-Pierre Roth</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175 000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2 441</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134 353</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309 353</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w w:val="105"/>
                <w:sz w:val="15"/>
              </w:rPr>
              <w:t>Ann M. Veneman</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175 000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2 441</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134 353</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309 353</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sz w:val="15"/>
              </w:rPr>
              <w:t>Henri de Castries</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205 000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2 899</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159 561</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364 561</w:t>
            </w:r>
          </w:p>
        </w:tc>
      </w:tr>
      <w:tr>
        <w:trPr>
          <w:trHeight w:val="235" w:hRule="atLeast"/>
        </w:trPr>
        <w:tc>
          <w:tcPr>
            <w:tcW w:w="3532" w:type="dxa"/>
            <w:tcBorders>
              <w:top w:val="single" w:sz="2" w:space="0" w:color="8F999F"/>
              <w:bottom w:val="single" w:sz="2" w:space="0" w:color="8F999F"/>
            </w:tcBorders>
          </w:tcPr>
          <w:p>
            <w:pPr>
              <w:pStyle w:val="TableParagraph"/>
              <w:rPr>
                <w:sz w:val="15"/>
              </w:rPr>
            </w:pPr>
            <w:r>
              <w:rPr>
                <w:color w:val="231F20"/>
                <w:w w:val="105"/>
                <w:sz w:val="15"/>
              </w:rPr>
              <w:t>Eva Cheng</w:t>
            </w:r>
          </w:p>
        </w:tc>
        <w:tc>
          <w:tcPr>
            <w:tcW w:w="1783" w:type="dxa"/>
            <w:tcBorders>
              <w:top w:val="single" w:sz="2" w:space="0" w:color="8F999F"/>
              <w:bottom w:val="single" w:sz="2" w:space="0" w:color="8F999F"/>
            </w:tcBorders>
          </w:tcPr>
          <w:p>
            <w:pPr>
              <w:pStyle w:val="TableParagraph"/>
              <w:ind w:right="267"/>
              <w:jc w:val="right"/>
              <w:rPr>
                <w:sz w:val="15"/>
              </w:rPr>
            </w:pPr>
            <w:r>
              <w:rPr>
                <w:color w:val="0083CA"/>
                <w:w w:val="105"/>
                <w:sz w:val="15"/>
              </w:rPr>
              <w:t>155 000</w:t>
            </w:r>
          </w:p>
        </w:tc>
        <w:tc>
          <w:tcPr>
            <w:tcW w:w="1729" w:type="dxa"/>
            <w:tcBorders>
              <w:top w:val="single" w:sz="2" w:space="0" w:color="8F999F"/>
              <w:bottom w:val="single" w:sz="2" w:space="0" w:color="8F999F"/>
            </w:tcBorders>
          </w:tcPr>
          <w:p>
            <w:pPr>
              <w:pStyle w:val="TableParagraph"/>
              <w:ind w:right="238"/>
              <w:jc w:val="right"/>
              <w:rPr>
                <w:sz w:val="15"/>
              </w:rPr>
            </w:pPr>
            <w:r>
              <w:rPr>
                <w:color w:val="0083CA"/>
                <w:w w:val="105"/>
                <w:sz w:val="15"/>
              </w:rPr>
              <w:t>2 136</w:t>
            </w:r>
          </w:p>
        </w:tc>
        <w:tc>
          <w:tcPr>
            <w:tcW w:w="1932" w:type="dxa"/>
            <w:tcBorders>
              <w:top w:val="single" w:sz="2" w:space="0" w:color="8F999F"/>
              <w:bottom w:val="single" w:sz="2" w:space="0" w:color="8F999F"/>
            </w:tcBorders>
          </w:tcPr>
          <w:p>
            <w:pPr>
              <w:pStyle w:val="TableParagraph"/>
              <w:ind w:right="413"/>
              <w:jc w:val="right"/>
              <w:rPr>
                <w:sz w:val="15"/>
              </w:rPr>
            </w:pPr>
            <w:r>
              <w:rPr>
                <w:color w:val="0083CA"/>
                <w:w w:val="105"/>
                <w:sz w:val="15"/>
              </w:rPr>
              <w:t>117 565</w:t>
            </w:r>
          </w:p>
        </w:tc>
        <w:tc>
          <w:tcPr>
            <w:tcW w:w="1339" w:type="dxa"/>
            <w:tcBorders>
              <w:top w:val="single" w:sz="2" w:space="0" w:color="8F999F"/>
              <w:bottom w:val="single" w:sz="2" w:space="0" w:color="8F999F"/>
            </w:tcBorders>
          </w:tcPr>
          <w:p>
            <w:pPr>
              <w:pStyle w:val="TableParagraph"/>
              <w:ind w:right="-15"/>
              <w:jc w:val="right"/>
              <w:rPr>
                <w:sz w:val="15"/>
              </w:rPr>
            </w:pPr>
            <w:r>
              <w:rPr>
                <w:color w:val="0083CA"/>
                <w:w w:val="105"/>
                <w:sz w:val="15"/>
              </w:rPr>
              <w:t>272 565</w:t>
            </w:r>
          </w:p>
        </w:tc>
      </w:tr>
      <w:tr>
        <w:trPr>
          <w:trHeight w:val="235" w:hRule="atLeast"/>
        </w:trPr>
        <w:tc>
          <w:tcPr>
            <w:tcW w:w="3532" w:type="dxa"/>
            <w:tcBorders>
              <w:top w:val="single" w:sz="2" w:space="0" w:color="8F999F"/>
              <w:bottom w:val="single" w:sz="4" w:space="0" w:color="231F20"/>
            </w:tcBorders>
          </w:tcPr>
          <w:p>
            <w:pPr>
              <w:pStyle w:val="TableParagraph"/>
              <w:rPr>
                <w:b/>
                <w:sz w:val="15"/>
              </w:rPr>
            </w:pPr>
            <w:r>
              <w:rPr>
                <w:b/>
                <w:color w:val="586670"/>
                <w:w w:val="105"/>
                <w:sz w:val="15"/>
              </w:rPr>
              <w:t>Total for 2013</w:t>
            </w:r>
          </w:p>
        </w:tc>
        <w:tc>
          <w:tcPr>
            <w:tcW w:w="1783" w:type="dxa"/>
            <w:tcBorders>
              <w:top w:val="single" w:sz="2" w:space="0" w:color="8F999F"/>
              <w:bottom w:val="single" w:sz="4" w:space="0" w:color="231F20"/>
            </w:tcBorders>
          </w:tcPr>
          <w:p>
            <w:pPr>
              <w:pStyle w:val="TableParagraph"/>
              <w:ind w:right="267"/>
              <w:jc w:val="right"/>
              <w:rPr>
                <w:b/>
                <w:sz w:val="15"/>
              </w:rPr>
            </w:pPr>
            <w:r>
              <w:rPr>
                <w:b/>
                <w:color w:val="0083CA"/>
                <w:w w:val="105"/>
                <w:sz w:val="15"/>
              </w:rPr>
              <w:t>4 135 000</w:t>
            </w:r>
          </w:p>
        </w:tc>
        <w:tc>
          <w:tcPr>
            <w:tcW w:w="1729" w:type="dxa"/>
            <w:tcBorders>
              <w:top w:val="single" w:sz="2" w:space="0" w:color="8F999F"/>
              <w:bottom w:val="single" w:sz="4" w:space="0" w:color="231F20"/>
            </w:tcBorders>
          </w:tcPr>
          <w:p>
            <w:pPr>
              <w:pStyle w:val="TableParagraph"/>
              <w:ind w:right="238"/>
              <w:jc w:val="right"/>
              <w:rPr>
                <w:b/>
                <w:sz w:val="15"/>
              </w:rPr>
            </w:pPr>
            <w:r>
              <w:rPr>
                <w:b/>
                <w:color w:val="0083CA"/>
                <w:w w:val="105"/>
                <w:sz w:val="15"/>
              </w:rPr>
              <w:t>133 567</w:t>
            </w:r>
          </w:p>
        </w:tc>
        <w:tc>
          <w:tcPr>
            <w:tcW w:w="1932" w:type="dxa"/>
            <w:tcBorders>
              <w:top w:val="single" w:sz="2" w:space="0" w:color="8F999F"/>
              <w:bottom w:val="single" w:sz="4" w:space="0" w:color="231F20"/>
            </w:tcBorders>
          </w:tcPr>
          <w:p>
            <w:pPr>
              <w:pStyle w:val="TableParagraph"/>
              <w:ind w:right="413"/>
              <w:jc w:val="right"/>
              <w:rPr>
                <w:b/>
                <w:sz w:val="15"/>
              </w:rPr>
            </w:pPr>
            <w:r>
              <w:rPr>
                <w:b/>
                <w:color w:val="0083CA"/>
                <w:w w:val="105"/>
                <w:sz w:val="15"/>
              </w:rPr>
              <w:t>7 351 527</w:t>
            </w:r>
          </w:p>
        </w:tc>
        <w:tc>
          <w:tcPr>
            <w:tcW w:w="1339" w:type="dxa"/>
            <w:tcBorders>
              <w:top w:val="single" w:sz="2" w:space="0" w:color="8F999F"/>
              <w:bottom w:val="single" w:sz="4" w:space="0" w:color="231F20"/>
            </w:tcBorders>
          </w:tcPr>
          <w:p>
            <w:pPr>
              <w:pStyle w:val="TableParagraph"/>
              <w:ind w:right="-15"/>
              <w:jc w:val="right"/>
              <w:rPr>
                <w:b/>
                <w:sz w:val="15"/>
              </w:rPr>
            </w:pPr>
            <w:r>
              <w:rPr>
                <w:b/>
                <w:color w:val="0083CA"/>
                <w:w w:val="105"/>
                <w:sz w:val="15"/>
              </w:rPr>
              <w:t>11 486 527</w:t>
            </w:r>
          </w:p>
        </w:tc>
      </w:tr>
      <w:tr>
        <w:trPr>
          <w:trHeight w:val="230" w:hRule="atLeast"/>
        </w:trPr>
        <w:tc>
          <w:tcPr>
            <w:tcW w:w="3532" w:type="dxa"/>
            <w:tcBorders>
              <w:top w:val="single" w:sz="4" w:space="0" w:color="231F20"/>
              <w:bottom w:val="single" w:sz="2" w:space="0" w:color="8F999F"/>
            </w:tcBorders>
          </w:tcPr>
          <w:p>
            <w:pPr>
              <w:pStyle w:val="TableParagraph"/>
              <w:spacing w:line="240" w:lineRule="auto" w:before="0"/>
              <w:rPr>
                <w:rFonts w:ascii="Times New Roman"/>
                <w:sz w:val="16"/>
              </w:rPr>
            </w:pPr>
          </w:p>
        </w:tc>
        <w:tc>
          <w:tcPr>
            <w:tcW w:w="1783" w:type="dxa"/>
            <w:tcBorders>
              <w:top w:val="single" w:sz="4" w:space="0" w:color="231F20"/>
              <w:bottom w:val="single" w:sz="2" w:space="0" w:color="8F999F"/>
            </w:tcBorders>
          </w:tcPr>
          <w:p>
            <w:pPr>
              <w:pStyle w:val="TableParagraph"/>
              <w:spacing w:line="240" w:lineRule="auto" w:before="0"/>
              <w:rPr>
                <w:rFonts w:ascii="Times New Roman"/>
                <w:sz w:val="16"/>
              </w:rPr>
            </w:pPr>
          </w:p>
        </w:tc>
        <w:tc>
          <w:tcPr>
            <w:tcW w:w="1729" w:type="dxa"/>
            <w:tcBorders>
              <w:top w:val="single" w:sz="4" w:space="0" w:color="231F20"/>
              <w:bottom w:val="single" w:sz="2" w:space="0" w:color="8F999F"/>
            </w:tcBorders>
          </w:tcPr>
          <w:p>
            <w:pPr>
              <w:pStyle w:val="TableParagraph"/>
              <w:spacing w:line="240" w:lineRule="auto" w:before="0"/>
              <w:rPr>
                <w:rFonts w:ascii="Times New Roman"/>
                <w:sz w:val="16"/>
              </w:rPr>
            </w:pPr>
          </w:p>
        </w:tc>
        <w:tc>
          <w:tcPr>
            <w:tcW w:w="1932" w:type="dxa"/>
            <w:tcBorders>
              <w:top w:val="single" w:sz="4" w:space="0" w:color="231F20"/>
              <w:bottom w:val="single" w:sz="2" w:space="0" w:color="8F999F"/>
            </w:tcBorders>
          </w:tcPr>
          <w:p>
            <w:pPr>
              <w:pStyle w:val="TableParagraph"/>
              <w:spacing w:line="240" w:lineRule="auto" w:before="0"/>
              <w:rPr>
                <w:rFonts w:ascii="Times New Roman"/>
                <w:sz w:val="16"/>
              </w:rPr>
            </w:pPr>
          </w:p>
        </w:tc>
        <w:tc>
          <w:tcPr>
            <w:tcW w:w="1339" w:type="dxa"/>
            <w:tcBorders>
              <w:top w:val="single" w:sz="4" w:space="0" w:color="231F20"/>
              <w:bottom w:val="single" w:sz="2" w:space="0" w:color="8F999F"/>
            </w:tcBorders>
          </w:tcPr>
          <w:p>
            <w:pPr>
              <w:pStyle w:val="TableParagraph"/>
              <w:spacing w:line="240" w:lineRule="auto" w:before="0"/>
              <w:rPr>
                <w:rFonts w:ascii="Times New Roman"/>
                <w:sz w:val="16"/>
              </w:rPr>
            </w:pPr>
          </w:p>
        </w:tc>
      </w:tr>
      <w:tr>
        <w:trPr>
          <w:trHeight w:val="235" w:hRule="atLeast"/>
        </w:trPr>
        <w:tc>
          <w:tcPr>
            <w:tcW w:w="3532" w:type="dxa"/>
            <w:tcBorders>
              <w:top w:val="single" w:sz="2" w:space="0" w:color="8F999F"/>
              <w:bottom w:val="single" w:sz="4" w:space="0" w:color="231F20"/>
            </w:tcBorders>
          </w:tcPr>
          <w:p>
            <w:pPr>
              <w:pStyle w:val="TableParagraph"/>
              <w:rPr>
                <w:sz w:val="15"/>
              </w:rPr>
            </w:pPr>
            <w:r>
              <w:rPr>
                <w:color w:val="231F20"/>
                <w:sz w:val="15"/>
              </w:rPr>
              <w:t>Total for 2012</w:t>
            </w:r>
          </w:p>
        </w:tc>
        <w:tc>
          <w:tcPr>
            <w:tcW w:w="1783" w:type="dxa"/>
            <w:tcBorders>
              <w:top w:val="single" w:sz="2" w:space="0" w:color="8F999F"/>
              <w:bottom w:val="single" w:sz="4" w:space="0" w:color="231F20"/>
            </w:tcBorders>
          </w:tcPr>
          <w:p>
            <w:pPr>
              <w:pStyle w:val="TableParagraph"/>
              <w:ind w:right="267"/>
              <w:jc w:val="right"/>
              <w:rPr>
                <w:sz w:val="15"/>
              </w:rPr>
            </w:pPr>
            <w:r>
              <w:rPr>
                <w:color w:val="231F20"/>
                <w:w w:val="105"/>
                <w:sz w:val="15"/>
              </w:rPr>
              <w:t>4 185 000</w:t>
            </w:r>
          </w:p>
        </w:tc>
        <w:tc>
          <w:tcPr>
            <w:tcW w:w="1729" w:type="dxa"/>
            <w:tcBorders>
              <w:top w:val="single" w:sz="2" w:space="0" w:color="8F999F"/>
              <w:bottom w:val="single" w:sz="4" w:space="0" w:color="231F20"/>
            </w:tcBorders>
          </w:tcPr>
          <w:p>
            <w:pPr>
              <w:pStyle w:val="TableParagraph"/>
              <w:ind w:right="238"/>
              <w:jc w:val="right"/>
              <w:rPr>
                <w:sz w:val="15"/>
              </w:rPr>
            </w:pPr>
            <w:r>
              <w:rPr>
                <w:color w:val="231F20"/>
                <w:w w:val="105"/>
                <w:sz w:val="15"/>
              </w:rPr>
              <w:t>158 654</w:t>
            </w:r>
          </w:p>
        </w:tc>
        <w:tc>
          <w:tcPr>
            <w:tcW w:w="1932" w:type="dxa"/>
            <w:tcBorders>
              <w:top w:val="single" w:sz="2" w:space="0" w:color="8F999F"/>
              <w:bottom w:val="single" w:sz="4" w:space="0" w:color="231F20"/>
            </w:tcBorders>
          </w:tcPr>
          <w:p>
            <w:pPr>
              <w:pStyle w:val="TableParagraph"/>
              <w:ind w:right="413"/>
              <w:jc w:val="right"/>
              <w:rPr>
                <w:sz w:val="15"/>
              </w:rPr>
            </w:pPr>
            <w:r>
              <w:rPr>
                <w:color w:val="231F20"/>
                <w:w w:val="105"/>
                <w:sz w:val="15"/>
              </w:rPr>
              <w:t>7 393 277</w:t>
            </w:r>
          </w:p>
        </w:tc>
        <w:tc>
          <w:tcPr>
            <w:tcW w:w="1339" w:type="dxa"/>
            <w:tcBorders>
              <w:top w:val="single" w:sz="2" w:space="0" w:color="8F999F"/>
              <w:bottom w:val="single" w:sz="4" w:space="0" w:color="231F20"/>
            </w:tcBorders>
          </w:tcPr>
          <w:p>
            <w:pPr>
              <w:pStyle w:val="TableParagraph"/>
              <w:ind w:right="-15"/>
              <w:jc w:val="right"/>
              <w:rPr>
                <w:sz w:val="15"/>
              </w:rPr>
            </w:pPr>
            <w:r>
              <w:rPr>
                <w:color w:val="231F20"/>
                <w:w w:val="105"/>
                <w:sz w:val="15"/>
              </w:rPr>
              <w:t>11 578 277</w:t>
            </w:r>
          </w:p>
        </w:tc>
      </w:tr>
    </w:tbl>
    <w:p>
      <w:pPr>
        <w:pStyle w:val="BodyText"/>
        <w:spacing w:before="5"/>
        <w:rPr>
          <w:sz w:val="16"/>
        </w:rPr>
      </w:pPr>
    </w:p>
    <w:p>
      <w:pPr>
        <w:pStyle w:val="ListParagraph"/>
        <w:numPr>
          <w:ilvl w:val="1"/>
          <w:numId w:val="15"/>
        </w:numPr>
        <w:tabs>
          <w:tab w:pos="788" w:val="left" w:leader="none"/>
        </w:tabs>
        <w:spacing w:line="240" w:lineRule="auto" w:before="101" w:after="0"/>
        <w:ind w:left="787" w:right="0" w:hanging="227"/>
        <w:jc w:val="left"/>
        <w:rPr>
          <w:sz w:val="13"/>
        </w:rPr>
      </w:pPr>
      <w:r>
        <w:rPr>
          <w:color w:val="586670"/>
          <w:sz w:val="13"/>
        </w:rPr>
        <w:t>The</w:t>
      </w:r>
      <w:r>
        <w:rPr>
          <w:color w:val="586670"/>
          <w:spacing w:val="-6"/>
          <w:sz w:val="13"/>
        </w:rPr>
        <w:t> </w:t>
      </w:r>
      <w:r>
        <w:rPr>
          <w:color w:val="586670"/>
          <w:sz w:val="13"/>
        </w:rPr>
        <w:t>cash</w:t>
      </w:r>
      <w:r>
        <w:rPr>
          <w:color w:val="586670"/>
          <w:spacing w:val="-5"/>
          <w:sz w:val="13"/>
        </w:rPr>
        <w:t> </w:t>
      </w:r>
      <w:r>
        <w:rPr>
          <w:color w:val="586670"/>
          <w:sz w:val="13"/>
        </w:rPr>
        <w:t>amount</w:t>
      </w:r>
      <w:r>
        <w:rPr>
          <w:color w:val="586670"/>
          <w:spacing w:val="-6"/>
          <w:sz w:val="13"/>
        </w:rPr>
        <w:t> </w:t>
      </w:r>
      <w:r>
        <w:rPr>
          <w:color w:val="586670"/>
          <w:sz w:val="13"/>
        </w:rPr>
        <w:t>includes</w:t>
      </w:r>
      <w:r>
        <w:rPr>
          <w:color w:val="586670"/>
          <w:spacing w:val="-5"/>
          <w:sz w:val="13"/>
        </w:rPr>
        <w:t> </w:t>
      </w:r>
      <w:r>
        <w:rPr>
          <w:color w:val="586670"/>
          <w:sz w:val="13"/>
        </w:rPr>
        <w:t>the</w:t>
      </w:r>
      <w:r>
        <w:rPr>
          <w:color w:val="586670"/>
          <w:spacing w:val="-5"/>
          <w:sz w:val="13"/>
        </w:rPr>
        <w:t> </w:t>
      </w:r>
      <w:r>
        <w:rPr>
          <w:color w:val="586670"/>
          <w:sz w:val="13"/>
        </w:rPr>
        <w:t>expense</w:t>
      </w:r>
      <w:r>
        <w:rPr>
          <w:color w:val="586670"/>
          <w:spacing w:val="-6"/>
          <w:sz w:val="13"/>
        </w:rPr>
        <w:t> </w:t>
      </w:r>
      <w:r>
        <w:rPr>
          <w:color w:val="586670"/>
          <w:sz w:val="13"/>
        </w:rPr>
        <w:t>allowance</w:t>
      </w:r>
      <w:r>
        <w:rPr>
          <w:color w:val="586670"/>
          <w:spacing w:val="-5"/>
          <w:sz w:val="13"/>
        </w:rPr>
        <w:t> </w:t>
      </w:r>
      <w:r>
        <w:rPr>
          <w:color w:val="586670"/>
          <w:sz w:val="13"/>
        </w:rPr>
        <w:t>of</w:t>
      </w:r>
      <w:r>
        <w:rPr>
          <w:color w:val="586670"/>
          <w:spacing w:val="-5"/>
          <w:sz w:val="13"/>
        </w:rPr>
        <w:t> </w:t>
      </w:r>
      <w:r>
        <w:rPr>
          <w:color w:val="586670"/>
          <w:sz w:val="13"/>
        </w:rPr>
        <w:t>CHF</w:t>
      </w:r>
      <w:r>
        <w:rPr>
          <w:color w:val="586670"/>
          <w:spacing w:val="-6"/>
          <w:sz w:val="13"/>
        </w:rPr>
        <w:t> </w:t>
      </w:r>
      <w:r>
        <w:rPr>
          <w:color w:val="586670"/>
          <w:spacing w:val="-3"/>
          <w:sz w:val="13"/>
        </w:rPr>
        <w:t>15</w:t>
      </w:r>
      <w:r>
        <w:rPr>
          <w:color w:val="586670"/>
          <w:spacing w:val="-5"/>
          <w:sz w:val="13"/>
        </w:rPr>
        <w:t> </w:t>
      </w:r>
      <w:r>
        <w:rPr>
          <w:color w:val="586670"/>
          <w:sz w:val="13"/>
        </w:rPr>
        <w:t>000.</w:t>
      </w:r>
      <w:r>
        <w:rPr>
          <w:color w:val="586670"/>
          <w:spacing w:val="-5"/>
          <w:sz w:val="13"/>
        </w:rPr>
        <w:t> </w:t>
      </w:r>
      <w:r>
        <w:rPr>
          <w:color w:val="586670"/>
          <w:sz w:val="13"/>
        </w:rPr>
        <w:t>The</w:t>
      </w:r>
      <w:r>
        <w:rPr>
          <w:color w:val="586670"/>
          <w:spacing w:val="-6"/>
          <w:sz w:val="13"/>
        </w:rPr>
        <w:t> </w:t>
      </w:r>
      <w:r>
        <w:rPr>
          <w:color w:val="586670"/>
          <w:sz w:val="13"/>
        </w:rPr>
        <w:t>Chairman</w:t>
      </w:r>
      <w:r>
        <w:rPr>
          <w:color w:val="586670"/>
          <w:spacing w:val="-5"/>
          <w:sz w:val="13"/>
        </w:rPr>
        <w:t> </w:t>
      </w:r>
      <w:r>
        <w:rPr>
          <w:color w:val="586670"/>
          <w:sz w:val="13"/>
        </w:rPr>
        <w:t>receives</w:t>
      </w:r>
      <w:r>
        <w:rPr>
          <w:color w:val="586670"/>
          <w:spacing w:val="-5"/>
          <w:sz w:val="13"/>
        </w:rPr>
        <w:t> </w:t>
      </w:r>
      <w:r>
        <w:rPr>
          <w:color w:val="586670"/>
          <w:sz w:val="13"/>
        </w:rPr>
        <w:t>no</w:t>
      </w:r>
      <w:r>
        <w:rPr>
          <w:color w:val="586670"/>
          <w:spacing w:val="-6"/>
          <w:sz w:val="13"/>
        </w:rPr>
        <w:t> </w:t>
      </w:r>
      <w:r>
        <w:rPr>
          <w:color w:val="586670"/>
          <w:sz w:val="13"/>
        </w:rPr>
        <w:t>expense</w:t>
      </w:r>
      <w:r>
        <w:rPr>
          <w:color w:val="586670"/>
          <w:spacing w:val="-5"/>
          <w:sz w:val="13"/>
        </w:rPr>
        <w:t> </w:t>
      </w:r>
      <w:r>
        <w:rPr>
          <w:color w:val="586670"/>
          <w:sz w:val="13"/>
        </w:rPr>
        <w:t>allowance.</w:t>
      </w:r>
    </w:p>
    <w:p>
      <w:pPr>
        <w:pStyle w:val="ListParagraph"/>
        <w:numPr>
          <w:ilvl w:val="1"/>
          <w:numId w:val="15"/>
        </w:numPr>
        <w:tabs>
          <w:tab w:pos="788" w:val="left" w:leader="none"/>
        </w:tabs>
        <w:spacing w:line="254" w:lineRule="auto" w:before="9" w:after="0"/>
        <w:ind w:left="787" w:right="1358" w:hanging="227"/>
        <w:jc w:val="left"/>
        <w:rPr>
          <w:sz w:val="13"/>
        </w:rPr>
      </w:pPr>
      <w:r>
        <w:rPr>
          <w:color w:val="586670"/>
          <w:sz w:val="13"/>
        </w:rPr>
        <w:t>Nestlé </w:t>
      </w:r>
      <w:r>
        <w:rPr>
          <w:color w:val="586670"/>
          <w:spacing w:val="2"/>
          <w:sz w:val="13"/>
        </w:rPr>
        <w:t>S.A. </w:t>
      </w:r>
      <w:r>
        <w:rPr>
          <w:color w:val="586670"/>
          <w:sz w:val="13"/>
        </w:rPr>
        <w:t>shares received as </w:t>
      </w:r>
      <w:r>
        <w:rPr>
          <w:color w:val="586670"/>
          <w:spacing w:val="2"/>
          <w:sz w:val="13"/>
        </w:rPr>
        <w:t>part </w:t>
      </w:r>
      <w:r>
        <w:rPr>
          <w:color w:val="586670"/>
          <w:sz w:val="13"/>
        </w:rPr>
        <w:t>of Board membership and Committee fees are valued at the closing price of the share on the SIX Swiss Exchange  on</w:t>
      </w:r>
      <w:r>
        <w:rPr>
          <w:color w:val="586670"/>
          <w:spacing w:val="-6"/>
          <w:sz w:val="13"/>
        </w:rPr>
        <w:t> </w:t>
      </w:r>
      <w:r>
        <w:rPr>
          <w:color w:val="586670"/>
          <w:sz w:val="13"/>
        </w:rPr>
        <w:t>the</w:t>
      </w:r>
      <w:r>
        <w:rPr>
          <w:color w:val="586670"/>
          <w:spacing w:val="-6"/>
          <w:sz w:val="13"/>
        </w:rPr>
        <w:t> </w:t>
      </w:r>
      <w:r>
        <w:rPr>
          <w:color w:val="586670"/>
          <w:sz w:val="13"/>
        </w:rPr>
        <w:t>ex-dividend</w:t>
      </w:r>
      <w:r>
        <w:rPr>
          <w:color w:val="586670"/>
          <w:spacing w:val="-6"/>
          <w:sz w:val="13"/>
        </w:rPr>
        <w:t> </w:t>
      </w:r>
      <w:r>
        <w:rPr>
          <w:color w:val="586670"/>
          <w:sz w:val="13"/>
        </w:rPr>
        <w:t>date,</w:t>
      </w:r>
      <w:r>
        <w:rPr>
          <w:color w:val="586670"/>
          <w:spacing w:val="-6"/>
          <w:sz w:val="13"/>
        </w:rPr>
        <w:t> </w:t>
      </w:r>
      <w:r>
        <w:rPr>
          <w:color w:val="586670"/>
          <w:sz w:val="13"/>
        </w:rPr>
        <w:t>discounted</w:t>
      </w:r>
      <w:r>
        <w:rPr>
          <w:color w:val="586670"/>
          <w:spacing w:val="-6"/>
          <w:sz w:val="13"/>
        </w:rPr>
        <w:t> </w:t>
      </w:r>
      <w:r>
        <w:rPr>
          <w:color w:val="586670"/>
          <w:sz w:val="13"/>
        </w:rPr>
        <w:t>by</w:t>
      </w:r>
      <w:r>
        <w:rPr>
          <w:color w:val="586670"/>
          <w:spacing w:val="-6"/>
          <w:sz w:val="13"/>
        </w:rPr>
        <w:t> </w:t>
      </w:r>
      <w:r>
        <w:rPr>
          <w:color w:val="586670"/>
          <w:sz w:val="13"/>
        </w:rPr>
        <w:t>16.038%</w:t>
      </w:r>
      <w:r>
        <w:rPr>
          <w:color w:val="586670"/>
          <w:spacing w:val="-6"/>
          <w:sz w:val="13"/>
        </w:rPr>
        <w:t> </w:t>
      </w:r>
      <w:r>
        <w:rPr>
          <w:color w:val="586670"/>
          <w:sz w:val="13"/>
        </w:rPr>
        <w:t>to</w:t>
      </w:r>
      <w:r>
        <w:rPr>
          <w:color w:val="586670"/>
          <w:spacing w:val="-5"/>
          <w:sz w:val="13"/>
        </w:rPr>
        <w:t> </w:t>
      </w:r>
      <w:r>
        <w:rPr>
          <w:color w:val="586670"/>
          <w:sz w:val="13"/>
        </w:rPr>
        <w:t>account</w:t>
      </w:r>
      <w:r>
        <w:rPr>
          <w:color w:val="586670"/>
          <w:spacing w:val="-6"/>
          <w:sz w:val="13"/>
        </w:rPr>
        <w:t> </w:t>
      </w:r>
      <w:r>
        <w:rPr>
          <w:color w:val="586670"/>
          <w:sz w:val="13"/>
        </w:rPr>
        <w:t>for</w:t>
      </w:r>
      <w:r>
        <w:rPr>
          <w:color w:val="586670"/>
          <w:spacing w:val="-6"/>
          <w:sz w:val="13"/>
        </w:rPr>
        <w:t> </w:t>
      </w:r>
      <w:r>
        <w:rPr>
          <w:color w:val="586670"/>
          <w:sz w:val="13"/>
        </w:rPr>
        <w:t>the</w:t>
      </w:r>
      <w:r>
        <w:rPr>
          <w:color w:val="586670"/>
          <w:spacing w:val="-6"/>
          <w:sz w:val="13"/>
        </w:rPr>
        <w:t> </w:t>
      </w:r>
      <w:r>
        <w:rPr>
          <w:color w:val="586670"/>
          <w:sz w:val="13"/>
        </w:rPr>
        <w:t>blocking</w:t>
      </w:r>
      <w:r>
        <w:rPr>
          <w:color w:val="586670"/>
          <w:spacing w:val="-6"/>
          <w:sz w:val="13"/>
        </w:rPr>
        <w:t> </w:t>
      </w:r>
      <w:r>
        <w:rPr>
          <w:color w:val="586670"/>
          <w:spacing w:val="2"/>
          <w:sz w:val="13"/>
        </w:rPr>
        <w:t>period</w:t>
      </w:r>
      <w:r>
        <w:rPr>
          <w:color w:val="586670"/>
          <w:spacing w:val="-6"/>
          <w:sz w:val="13"/>
        </w:rPr>
        <w:t> </w:t>
      </w:r>
      <w:r>
        <w:rPr>
          <w:color w:val="586670"/>
          <w:sz w:val="13"/>
        </w:rPr>
        <w:t>of</w:t>
      </w:r>
      <w:r>
        <w:rPr>
          <w:color w:val="586670"/>
          <w:spacing w:val="-6"/>
          <w:sz w:val="13"/>
        </w:rPr>
        <w:t> </w:t>
      </w:r>
      <w:r>
        <w:rPr>
          <w:color w:val="586670"/>
          <w:sz w:val="13"/>
        </w:rPr>
        <w:t>three</w:t>
      </w:r>
      <w:r>
        <w:rPr>
          <w:color w:val="586670"/>
          <w:spacing w:val="-6"/>
          <w:sz w:val="13"/>
        </w:rPr>
        <w:t> </w:t>
      </w:r>
      <w:r>
        <w:rPr>
          <w:color w:val="586670"/>
          <w:sz w:val="13"/>
        </w:rPr>
        <w:t>years.</w:t>
      </w:r>
    </w:p>
    <w:p>
      <w:pPr>
        <w:pStyle w:val="ListParagraph"/>
        <w:numPr>
          <w:ilvl w:val="1"/>
          <w:numId w:val="15"/>
        </w:numPr>
        <w:tabs>
          <w:tab w:pos="788" w:val="left" w:leader="none"/>
        </w:tabs>
        <w:spacing w:line="240" w:lineRule="auto" w:before="0" w:after="0"/>
        <w:ind w:left="787" w:right="0" w:hanging="227"/>
        <w:jc w:val="left"/>
        <w:rPr>
          <w:sz w:val="13"/>
        </w:rPr>
      </w:pPr>
      <w:r>
        <w:rPr>
          <w:color w:val="586670"/>
          <w:sz w:val="13"/>
        </w:rPr>
        <w:t>The</w:t>
      </w:r>
      <w:r>
        <w:rPr>
          <w:color w:val="586670"/>
          <w:spacing w:val="-6"/>
          <w:sz w:val="13"/>
        </w:rPr>
        <w:t> </w:t>
      </w:r>
      <w:r>
        <w:rPr>
          <w:color w:val="586670"/>
          <w:sz w:val="13"/>
        </w:rPr>
        <w:t>Chairman</w:t>
      </w:r>
      <w:r>
        <w:rPr>
          <w:color w:val="586670"/>
          <w:spacing w:val="-6"/>
          <w:sz w:val="13"/>
        </w:rPr>
        <w:t> </w:t>
      </w:r>
      <w:r>
        <w:rPr>
          <w:color w:val="586670"/>
          <w:sz w:val="13"/>
        </w:rPr>
        <w:t>and</w:t>
      </w:r>
      <w:r>
        <w:rPr>
          <w:color w:val="586670"/>
          <w:spacing w:val="-5"/>
          <w:sz w:val="13"/>
        </w:rPr>
        <w:t> </w:t>
      </w:r>
      <w:r>
        <w:rPr>
          <w:color w:val="586670"/>
          <w:sz w:val="13"/>
        </w:rPr>
        <w:t>the</w:t>
      </w:r>
      <w:r>
        <w:rPr>
          <w:color w:val="586670"/>
          <w:spacing w:val="-6"/>
          <w:sz w:val="13"/>
        </w:rPr>
        <w:t> </w:t>
      </w:r>
      <w:r>
        <w:rPr>
          <w:color w:val="586670"/>
          <w:sz w:val="13"/>
        </w:rPr>
        <w:t>Chief</w:t>
      </w:r>
      <w:r>
        <w:rPr>
          <w:color w:val="586670"/>
          <w:spacing w:val="-6"/>
          <w:sz w:val="13"/>
        </w:rPr>
        <w:t> </w:t>
      </w:r>
      <w:r>
        <w:rPr>
          <w:color w:val="586670"/>
          <w:sz w:val="13"/>
        </w:rPr>
        <w:t>Executive</w:t>
      </w:r>
      <w:r>
        <w:rPr>
          <w:color w:val="586670"/>
          <w:spacing w:val="-5"/>
          <w:sz w:val="13"/>
        </w:rPr>
        <w:t> </w:t>
      </w:r>
      <w:r>
        <w:rPr>
          <w:color w:val="586670"/>
          <w:spacing w:val="2"/>
          <w:sz w:val="13"/>
        </w:rPr>
        <w:t>Officer</w:t>
      </w:r>
      <w:r>
        <w:rPr>
          <w:color w:val="586670"/>
          <w:spacing w:val="-6"/>
          <w:sz w:val="13"/>
        </w:rPr>
        <w:t> </w:t>
      </w:r>
      <w:r>
        <w:rPr>
          <w:color w:val="586670"/>
          <w:sz w:val="13"/>
        </w:rPr>
        <w:t>receive</w:t>
      </w:r>
      <w:r>
        <w:rPr>
          <w:color w:val="586670"/>
          <w:spacing w:val="-5"/>
          <w:sz w:val="13"/>
        </w:rPr>
        <w:t> </w:t>
      </w:r>
      <w:r>
        <w:rPr>
          <w:color w:val="586670"/>
          <w:sz w:val="13"/>
        </w:rPr>
        <w:t>neither</w:t>
      </w:r>
      <w:r>
        <w:rPr>
          <w:color w:val="586670"/>
          <w:spacing w:val="-6"/>
          <w:sz w:val="13"/>
        </w:rPr>
        <w:t> </w:t>
      </w:r>
      <w:r>
        <w:rPr>
          <w:color w:val="586670"/>
          <w:sz w:val="13"/>
        </w:rPr>
        <w:t>Board</w:t>
      </w:r>
      <w:r>
        <w:rPr>
          <w:color w:val="586670"/>
          <w:spacing w:val="-6"/>
          <w:sz w:val="13"/>
        </w:rPr>
        <w:t> </w:t>
      </w:r>
      <w:r>
        <w:rPr>
          <w:color w:val="586670"/>
          <w:sz w:val="13"/>
        </w:rPr>
        <w:t>membership</w:t>
      </w:r>
      <w:r>
        <w:rPr>
          <w:color w:val="586670"/>
          <w:spacing w:val="-5"/>
          <w:sz w:val="13"/>
        </w:rPr>
        <w:t> </w:t>
      </w:r>
      <w:r>
        <w:rPr>
          <w:color w:val="586670"/>
          <w:sz w:val="13"/>
        </w:rPr>
        <w:t>or</w:t>
      </w:r>
      <w:r>
        <w:rPr>
          <w:color w:val="586670"/>
          <w:spacing w:val="-6"/>
          <w:sz w:val="13"/>
        </w:rPr>
        <w:t> </w:t>
      </w:r>
      <w:r>
        <w:rPr>
          <w:color w:val="586670"/>
          <w:sz w:val="13"/>
        </w:rPr>
        <w:t>Committee</w:t>
      </w:r>
      <w:r>
        <w:rPr>
          <w:color w:val="586670"/>
          <w:spacing w:val="-6"/>
          <w:sz w:val="13"/>
        </w:rPr>
        <w:t> </w:t>
      </w:r>
      <w:r>
        <w:rPr>
          <w:color w:val="586670"/>
          <w:sz w:val="13"/>
        </w:rPr>
        <w:t>fees</w:t>
      </w:r>
      <w:r>
        <w:rPr>
          <w:color w:val="586670"/>
          <w:spacing w:val="-5"/>
          <w:sz w:val="13"/>
        </w:rPr>
        <w:t> </w:t>
      </w:r>
      <w:r>
        <w:rPr>
          <w:color w:val="586670"/>
          <w:sz w:val="13"/>
        </w:rPr>
        <w:t>nor</w:t>
      </w:r>
      <w:r>
        <w:rPr>
          <w:color w:val="586670"/>
          <w:spacing w:val="-6"/>
          <w:sz w:val="13"/>
        </w:rPr>
        <w:t> </w:t>
      </w:r>
      <w:r>
        <w:rPr>
          <w:color w:val="586670"/>
          <w:sz w:val="13"/>
        </w:rPr>
        <w:t>expense</w:t>
      </w:r>
      <w:r>
        <w:rPr>
          <w:color w:val="586670"/>
          <w:spacing w:val="-5"/>
          <w:sz w:val="13"/>
        </w:rPr>
        <w:t> </w:t>
      </w:r>
      <w:r>
        <w:rPr>
          <w:color w:val="586670"/>
          <w:sz w:val="13"/>
        </w:rPr>
        <w:t>allowance.</w:t>
      </w:r>
    </w:p>
    <w:p>
      <w:pPr>
        <w:pStyle w:val="BodyText"/>
        <w:rPr>
          <w:sz w:val="14"/>
        </w:rPr>
      </w:pPr>
    </w:p>
    <w:p>
      <w:pPr>
        <w:pStyle w:val="BodyText"/>
        <w:rPr>
          <w:sz w:val="14"/>
        </w:rPr>
      </w:pPr>
    </w:p>
    <w:p>
      <w:pPr>
        <w:pStyle w:val="BodyText"/>
        <w:spacing w:before="11"/>
        <w:rPr>
          <w:sz w:val="16"/>
        </w:rPr>
      </w:pPr>
    </w:p>
    <w:p>
      <w:pPr>
        <w:pStyle w:val="BodyText"/>
        <w:ind w:left="560"/>
      </w:pPr>
      <w:r>
        <w:rPr>
          <w:color w:val="231F20"/>
          <w:w w:val="105"/>
        </w:rPr>
        <w:t>In 2013, Ms Eva Cheng joined the Board as a new member. Mr André Kudelski retired from the Board during 2013.</w:t>
      </w:r>
    </w:p>
    <w:p>
      <w:pPr>
        <w:pStyle w:val="BodyText"/>
        <w:spacing w:line="276" w:lineRule="auto" w:before="31"/>
        <w:ind w:left="560" w:right="1313" w:firstLine="226"/>
      </w:pPr>
      <w:r>
        <w:rPr>
          <w:color w:val="231F20"/>
        </w:rPr>
        <w:t>Peter Brabeck-Letmathe, in his capacity as active Chairman, received a cash compensation as well as   Nestlé S.A. shares, which are blocked for three years. This in particular reflects certain responsibilities for the direction</w:t>
      </w:r>
      <w:r>
        <w:rPr>
          <w:color w:val="231F20"/>
          <w:spacing w:val="9"/>
        </w:rPr>
        <w:t> </w:t>
      </w:r>
      <w:r>
        <w:rPr>
          <w:color w:val="231F20"/>
        </w:rPr>
        <w:t>and</w:t>
      </w:r>
      <w:r>
        <w:rPr>
          <w:color w:val="231F20"/>
          <w:spacing w:val="10"/>
        </w:rPr>
        <w:t> </w:t>
      </w:r>
      <w:r>
        <w:rPr>
          <w:color w:val="231F20"/>
        </w:rPr>
        <w:t>control</w:t>
      </w:r>
      <w:r>
        <w:rPr>
          <w:color w:val="231F20"/>
          <w:spacing w:val="10"/>
        </w:rPr>
        <w:t> </w:t>
      </w:r>
      <w:r>
        <w:rPr>
          <w:color w:val="231F20"/>
        </w:rPr>
        <w:t>of</w:t>
      </w:r>
      <w:r>
        <w:rPr>
          <w:color w:val="231F20"/>
          <w:spacing w:val="10"/>
        </w:rPr>
        <w:t> </w:t>
      </w:r>
      <w:r>
        <w:rPr>
          <w:color w:val="231F20"/>
        </w:rPr>
        <w:t>the</w:t>
      </w:r>
      <w:r>
        <w:rPr>
          <w:color w:val="231F20"/>
          <w:spacing w:val="10"/>
        </w:rPr>
        <w:t> </w:t>
      </w:r>
      <w:r>
        <w:rPr>
          <w:color w:val="231F20"/>
        </w:rPr>
        <w:t>Group</w:t>
      </w:r>
      <w:r>
        <w:rPr>
          <w:color w:val="231F20"/>
          <w:spacing w:val="10"/>
        </w:rPr>
        <w:t> </w:t>
      </w:r>
      <w:r>
        <w:rPr>
          <w:color w:val="231F20"/>
        </w:rPr>
        <w:t>including</w:t>
      </w:r>
      <w:r>
        <w:rPr>
          <w:color w:val="231F20"/>
          <w:spacing w:val="10"/>
        </w:rPr>
        <w:t> </w:t>
      </w:r>
      <w:r>
        <w:rPr>
          <w:color w:val="231F20"/>
        </w:rPr>
        <w:t>Nestlé</w:t>
      </w:r>
      <w:r>
        <w:rPr>
          <w:color w:val="231F20"/>
          <w:spacing w:val="10"/>
        </w:rPr>
        <w:t> </w:t>
      </w:r>
      <w:r>
        <w:rPr>
          <w:color w:val="231F20"/>
        </w:rPr>
        <w:t>Health</w:t>
      </w:r>
      <w:r>
        <w:rPr>
          <w:color w:val="231F20"/>
          <w:spacing w:val="9"/>
        </w:rPr>
        <w:t> </w:t>
      </w:r>
      <w:r>
        <w:rPr>
          <w:color w:val="231F20"/>
        </w:rPr>
        <w:t>Science</w:t>
      </w:r>
      <w:r>
        <w:rPr>
          <w:color w:val="231F20"/>
          <w:spacing w:val="10"/>
        </w:rPr>
        <w:t> </w:t>
      </w:r>
      <w:r>
        <w:rPr>
          <w:color w:val="231F20"/>
        </w:rPr>
        <w:t>S.A.</w:t>
      </w:r>
      <w:r>
        <w:rPr>
          <w:color w:val="231F20"/>
          <w:spacing w:val="10"/>
        </w:rPr>
        <w:t> </w:t>
      </w:r>
      <w:r>
        <w:rPr>
          <w:color w:val="231F20"/>
        </w:rPr>
        <w:t>and</w:t>
      </w:r>
      <w:r>
        <w:rPr>
          <w:color w:val="231F20"/>
          <w:spacing w:val="10"/>
        </w:rPr>
        <w:t> </w:t>
      </w:r>
      <w:r>
        <w:rPr>
          <w:color w:val="231F20"/>
        </w:rPr>
        <w:t>the</w:t>
      </w:r>
      <w:r>
        <w:rPr>
          <w:color w:val="231F20"/>
          <w:spacing w:val="10"/>
        </w:rPr>
        <w:t> </w:t>
      </w:r>
      <w:r>
        <w:rPr>
          <w:color w:val="231F20"/>
        </w:rPr>
        <w:t>direct</w:t>
      </w:r>
      <w:r>
        <w:rPr>
          <w:color w:val="231F20"/>
          <w:spacing w:val="10"/>
        </w:rPr>
        <w:t> </w:t>
      </w:r>
      <w:r>
        <w:rPr>
          <w:color w:val="231F20"/>
        </w:rPr>
        <w:t>leadership</w:t>
      </w:r>
      <w:r>
        <w:rPr>
          <w:color w:val="231F20"/>
          <w:spacing w:val="10"/>
        </w:rPr>
        <w:t> </w:t>
      </w:r>
      <w:r>
        <w:rPr>
          <w:color w:val="231F20"/>
        </w:rPr>
        <w:t>of</w:t>
      </w:r>
      <w:r>
        <w:rPr>
          <w:color w:val="231F20"/>
          <w:spacing w:val="10"/>
        </w:rPr>
        <w:t> </w:t>
      </w:r>
      <w:r>
        <w:rPr>
          <w:color w:val="231F20"/>
        </w:rPr>
        <w:t>Nestlé’s</w:t>
      </w:r>
    </w:p>
    <w:p>
      <w:pPr>
        <w:pStyle w:val="BodyText"/>
        <w:spacing w:line="276" w:lineRule="auto"/>
        <w:ind w:left="560" w:right="1085"/>
      </w:pPr>
      <w:r>
        <w:rPr>
          <w:color w:val="231F20"/>
          <w:w w:val="105"/>
        </w:rPr>
        <w:t>interests</w:t>
      </w:r>
      <w:r>
        <w:rPr>
          <w:color w:val="231F20"/>
          <w:spacing w:val="-21"/>
          <w:w w:val="105"/>
        </w:rPr>
        <w:t> </w:t>
      </w:r>
      <w:r>
        <w:rPr>
          <w:color w:val="231F20"/>
          <w:w w:val="105"/>
        </w:rPr>
        <w:t>in</w:t>
      </w:r>
      <w:r>
        <w:rPr>
          <w:color w:val="231F20"/>
          <w:spacing w:val="-20"/>
          <w:w w:val="105"/>
        </w:rPr>
        <w:t> </w:t>
      </w:r>
      <w:r>
        <w:rPr>
          <w:color w:val="231F20"/>
          <w:spacing w:val="-3"/>
          <w:w w:val="105"/>
        </w:rPr>
        <w:t>L’Oréal,</w:t>
      </w:r>
      <w:r>
        <w:rPr>
          <w:color w:val="231F20"/>
          <w:spacing w:val="-20"/>
          <w:w w:val="105"/>
        </w:rPr>
        <w:t> </w:t>
      </w:r>
      <w:r>
        <w:rPr>
          <w:color w:val="231F20"/>
          <w:w w:val="105"/>
        </w:rPr>
        <w:t>Galderma</w:t>
      </w:r>
      <w:r>
        <w:rPr>
          <w:color w:val="231F20"/>
          <w:spacing w:val="-21"/>
          <w:w w:val="105"/>
        </w:rPr>
        <w:t> </w:t>
      </w:r>
      <w:r>
        <w:rPr>
          <w:color w:val="231F20"/>
          <w:w w:val="105"/>
        </w:rPr>
        <w:t>and</w:t>
      </w:r>
      <w:r>
        <w:rPr>
          <w:color w:val="231F20"/>
          <w:spacing w:val="-20"/>
          <w:w w:val="105"/>
        </w:rPr>
        <w:t> </w:t>
      </w:r>
      <w:r>
        <w:rPr>
          <w:color w:val="231F20"/>
          <w:w w:val="105"/>
        </w:rPr>
        <w:t>Laboratoires</w:t>
      </w:r>
      <w:r>
        <w:rPr>
          <w:color w:val="231F20"/>
          <w:spacing w:val="-20"/>
          <w:w w:val="105"/>
        </w:rPr>
        <w:t> </w:t>
      </w:r>
      <w:r>
        <w:rPr>
          <w:color w:val="231F20"/>
          <w:w w:val="105"/>
        </w:rPr>
        <w:t>innéov.</w:t>
      </w:r>
      <w:r>
        <w:rPr>
          <w:color w:val="231F20"/>
          <w:spacing w:val="-21"/>
          <w:w w:val="105"/>
        </w:rPr>
        <w:t> </w:t>
      </w:r>
      <w:r>
        <w:rPr>
          <w:color w:val="231F20"/>
          <w:w w:val="105"/>
        </w:rPr>
        <w:t>He</w:t>
      </w:r>
      <w:r>
        <w:rPr>
          <w:color w:val="231F20"/>
          <w:spacing w:val="-20"/>
          <w:w w:val="105"/>
        </w:rPr>
        <w:t> </w:t>
      </w:r>
      <w:r>
        <w:rPr>
          <w:color w:val="231F20"/>
          <w:w w:val="105"/>
        </w:rPr>
        <w:t>also</w:t>
      </w:r>
      <w:r>
        <w:rPr>
          <w:color w:val="231F20"/>
          <w:spacing w:val="-20"/>
          <w:w w:val="105"/>
        </w:rPr>
        <w:t> </w:t>
      </w:r>
      <w:r>
        <w:rPr>
          <w:color w:val="231F20"/>
          <w:w w:val="105"/>
        </w:rPr>
        <w:t>represents</w:t>
      </w:r>
      <w:r>
        <w:rPr>
          <w:color w:val="231F20"/>
          <w:spacing w:val="-21"/>
          <w:w w:val="105"/>
        </w:rPr>
        <w:t> </w:t>
      </w:r>
      <w:r>
        <w:rPr>
          <w:color w:val="231F20"/>
          <w:w w:val="105"/>
        </w:rPr>
        <w:t>Nestlé</w:t>
      </w:r>
      <w:r>
        <w:rPr>
          <w:color w:val="231F20"/>
          <w:spacing w:val="-20"/>
          <w:w w:val="105"/>
        </w:rPr>
        <w:t> </w:t>
      </w:r>
      <w:r>
        <w:rPr>
          <w:color w:val="231F20"/>
          <w:w w:val="105"/>
        </w:rPr>
        <w:t>at</w:t>
      </w:r>
      <w:r>
        <w:rPr>
          <w:color w:val="231F20"/>
          <w:spacing w:val="-20"/>
          <w:w w:val="105"/>
        </w:rPr>
        <w:t> </w:t>
      </w:r>
      <w:r>
        <w:rPr>
          <w:color w:val="231F20"/>
          <w:w w:val="105"/>
        </w:rPr>
        <w:t>the</w:t>
      </w:r>
      <w:r>
        <w:rPr>
          <w:color w:val="231F20"/>
          <w:spacing w:val="-22"/>
          <w:w w:val="105"/>
        </w:rPr>
        <w:t> </w:t>
      </w:r>
      <w:r>
        <w:rPr>
          <w:color w:val="231F20"/>
          <w:w w:val="105"/>
        </w:rPr>
        <w:t>Foundation</w:t>
      </w:r>
      <w:r>
        <w:rPr>
          <w:color w:val="231F20"/>
          <w:spacing w:val="-23"/>
          <w:w w:val="105"/>
        </w:rPr>
        <w:t> </w:t>
      </w:r>
      <w:r>
        <w:rPr>
          <w:color w:val="231F20"/>
          <w:w w:val="105"/>
        </w:rPr>
        <w:t>Board</w:t>
      </w:r>
      <w:r>
        <w:rPr>
          <w:color w:val="231F20"/>
          <w:spacing w:val="-23"/>
          <w:w w:val="105"/>
        </w:rPr>
        <w:t> </w:t>
      </w:r>
      <w:r>
        <w:rPr>
          <w:color w:val="231F20"/>
          <w:w w:val="105"/>
        </w:rPr>
        <w:t>of</w:t>
      </w:r>
      <w:r>
        <w:rPr>
          <w:color w:val="231F20"/>
          <w:spacing w:val="-24"/>
          <w:w w:val="105"/>
        </w:rPr>
        <w:t> </w:t>
      </w:r>
      <w:r>
        <w:rPr>
          <w:color w:val="231F20"/>
          <w:w w:val="105"/>
        </w:rPr>
        <w:t>the World</w:t>
      </w:r>
      <w:r>
        <w:rPr>
          <w:color w:val="231F20"/>
          <w:spacing w:val="-14"/>
          <w:w w:val="105"/>
        </w:rPr>
        <w:t> </w:t>
      </w:r>
      <w:r>
        <w:rPr>
          <w:color w:val="231F20"/>
          <w:w w:val="105"/>
        </w:rPr>
        <w:t>Economic</w:t>
      </w:r>
      <w:r>
        <w:rPr>
          <w:color w:val="231F20"/>
          <w:spacing w:val="-13"/>
          <w:w w:val="105"/>
        </w:rPr>
        <w:t> </w:t>
      </w:r>
      <w:r>
        <w:rPr>
          <w:color w:val="231F20"/>
          <w:w w:val="105"/>
        </w:rPr>
        <w:t>Forum</w:t>
      </w:r>
      <w:r>
        <w:rPr>
          <w:color w:val="231F20"/>
          <w:spacing w:val="-13"/>
          <w:w w:val="105"/>
        </w:rPr>
        <w:t> </w:t>
      </w:r>
      <w:r>
        <w:rPr>
          <w:color w:val="231F20"/>
          <w:w w:val="105"/>
        </w:rPr>
        <w:t>(WEF)</w:t>
      </w:r>
      <w:r>
        <w:rPr>
          <w:color w:val="231F20"/>
          <w:spacing w:val="-13"/>
          <w:w w:val="105"/>
        </w:rPr>
        <w:t> </w:t>
      </w:r>
      <w:r>
        <w:rPr>
          <w:color w:val="231F20"/>
          <w:w w:val="105"/>
        </w:rPr>
        <w:t>and</w:t>
      </w:r>
      <w:r>
        <w:rPr>
          <w:color w:val="231F20"/>
          <w:spacing w:val="-13"/>
          <w:w w:val="105"/>
        </w:rPr>
        <w:t> </w:t>
      </w:r>
      <w:r>
        <w:rPr>
          <w:color w:val="231F20"/>
          <w:w w:val="105"/>
        </w:rPr>
        <w:t>on</w:t>
      </w:r>
      <w:r>
        <w:rPr>
          <w:color w:val="231F20"/>
          <w:spacing w:val="-13"/>
          <w:w w:val="105"/>
        </w:rPr>
        <w:t> </w:t>
      </w:r>
      <w:r>
        <w:rPr>
          <w:color w:val="231F20"/>
          <w:w w:val="105"/>
        </w:rPr>
        <w:t>behalf</w:t>
      </w:r>
      <w:r>
        <w:rPr>
          <w:color w:val="231F20"/>
          <w:spacing w:val="-13"/>
          <w:w w:val="105"/>
        </w:rPr>
        <w:t> </w:t>
      </w:r>
      <w:r>
        <w:rPr>
          <w:color w:val="231F20"/>
          <w:w w:val="105"/>
        </w:rPr>
        <w:t>of</w:t>
      </w:r>
      <w:r>
        <w:rPr>
          <w:color w:val="231F20"/>
          <w:spacing w:val="-13"/>
          <w:w w:val="105"/>
        </w:rPr>
        <w:t> </w:t>
      </w:r>
      <w:r>
        <w:rPr>
          <w:color w:val="231F20"/>
          <w:w w:val="105"/>
        </w:rPr>
        <w:t>Nestlé</w:t>
      </w:r>
      <w:r>
        <w:rPr>
          <w:color w:val="231F20"/>
          <w:spacing w:val="-13"/>
          <w:w w:val="105"/>
        </w:rPr>
        <w:t> </w:t>
      </w:r>
      <w:r>
        <w:rPr>
          <w:color w:val="231F20"/>
          <w:w w:val="105"/>
        </w:rPr>
        <w:t>chairs</w:t>
      </w:r>
      <w:r>
        <w:rPr>
          <w:color w:val="231F20"/>
          <w:spacing w:val="-13"/>
          <w:w w:val="105"/>
        </w:rPr>
        <w:t> </w:t>
      </w:r>
      <w:r>
        <w:rPr>
          <w:color w:val="231F20"/>
          <w:w w:val="105"/>
        </w:rPr>
        <w:t>the</w:t>
      </w:r>
      <w:r>
        <w:rPr>
          <w:color w:val="231F20"/>
          <w:spacing w:val="-13"/>
          <w:w w:val="105"/>
        </w:rPr>
        <w:t> </w:t>
      </w:r>
      <w:r>
        <w:rPr>
          <w:color w:val="231F20"/>
          <w:spacing w:val="-3"/>
          <w:w w:val="105"/>
        </w:rPr>
        <w:t>Water</w:t>
      </w:r>
      <w:r>
        <w:rPr>
          <w:color w:val="231F20"/>
          <w:spacing w:val="-14"/>
          <w:w w:val="105"/>
        </w:rPr>
        <w:t> </w:t>
      </w:r>
      <w:r>
        <w:rPr>
          <w:color w:val="231F20"/>
          <w:w w:val="105"/>
        </w:rPr>
        <w:t>Resource</w:t>
      </w:r>
      <w:r>
        <w:rPr>
          <w:color w:val="231F20"/>
          <w:spacing w:val="-13"/>
          <w:w w:val="105"/>
        </w:rPr>
        <w:t> </w:t>
      </w:r>
      <w:r>
        <w:rPr>
          <w:color w:val="231F20"/>
          <w:w w:val="105"/>
        </w:rPr>
        <w:t>Group</w:t>
      </w:r>
      <w:r>
        <w:rPr>
          <w:color w:val="231F20"/>
          <w:spacing w:val="-13"/>
          <w:w w:val="105"/>
        </w:rPr>
        <w:t> </w:t>
      </w:r>
      <w:r>
        <w:rPr>
          <w:color w:val="231F20"/>
          <w:w w:val="105"/>
        </w:rPr>
        <w:t>2030.</w:t>
      </w:r>
      <w:r>
        <w:rPr>
          <w:color w:val="231F20"/>
          <w:spacing w:val="-13"/>
          <w:w w:val="105"/>
        </w:rPr>
        <w:t> </w:t>
      </w:r>
      <w:r>
        <w:rPr>
          <w:color w:val="231F20"/>
          <w:w w:val="105"/>
        </w:rPr>
        <w:t>He</w:t>
      </w:r>
      <w:r>
        <w:rPr>
          <w:color w:val="231F20"/>
          <w:spacing w:val="-13"/>
          <w:w w:val="105"/>
        </w:rPr>
        <w:t> </w:t>
      </w:r>
      <w:r>
        <w:rPr>
          <w:color w:val="231F20"/>
          <w:w w:val="105"/>
        </w:rPr>
        <w:t>is</w:t>
      </w:r>
      <w:r>
        <w:rPr>
          <w:color w:val="231F20"/>
          <w:spacing w:val="-13"/>
          <w:w w:val="105"/>
        </w:rPr>
        <w:t> </w:t>
      </w:r>
      <w:r>
        <w:rPr>
          <w:color w:val="231F20"/>
          <w:w w:val="105"/>
        </w:rPr>
        <w:t>a</w:t>
      </w:r>
      <w:r>
        <w:rPr>
          <w:color w:val="231F20"/>
          <w:spacing w:val="-13"/>
          <w:w w:val="105"/>
        </w:rPr>
        <w:t> </w:t>
      </w:r>
      <w:r>
        <w:rPr>
          <w:color w:val="231F20"/>
          <w:w w:val="105"/>
        </w:rPr>
        <w:t>member</w:t>
      </w:r>
      <w:r>
        <w:rPr>
          <w:color w:val="231F20"/>
          <w:spacing w:val="-13"/>
          <w:w w:val="105"/>
        </w:rPr>
        <w:t> </w:t>
      </w:r>
      <w:r>
        <w:rPr>
          <w:color w:val="231F20"/>
          <w:w w:val="105"/>
        </w:rPr>
        <w:t>of </w:t>
      </w:r>
      <w:r>
        <w:rPr>
          <w:color w:val="231F20"/>
          <w:spacing w:val="-2"/>
          <w:w w:val="83"/>
        </w:rPr>
        <w:t>t</w:t>
      </w:r>
      <w:r>
        <w:rPr>
          <w:color w:val="231F20"/>
          <w:spacing w:val="-1"/>
          <w:w w:val="108"/>
        </w:rPr>
        <w:t>h</w:t>
      </w:r>
      <w:r>
        <w:rPr>
          <w:color w:val="231F20"/>
          <w:w w:val="100"/>
        </w:rPr>
        <w:t>e</w:t>
      </w:r>
      <w:r>
        <w:rPr>
          <w:color w:val="231F20"/>
          <w:spacing w:val="-7"/>
        </w:rPr>
        <w:t> </w:t>
      </w:r>
      <w:r>
        <w:rPr>
          <w:color w:val="231F20"/>
          <w:spacing w:val="-5"/>
          <w:w w:val="115"/>
        </w:rPr>
        <w:t>E</w:t>
      </w:r>
      <w:r>
        <w:rPr>
          <w:color w:val="231F20"/>
          <w:spacing w:val="-2"/>
          <w:w w:val="108"/>
        </w:rPr>
        <w:t>u</w:t>
      </w:r>
      <w:r>
        <w:rPr>
          <w:color w:val="231F20"/>
          <w:spacing w:val="-1"/>
          <w:w w:val="90"/>
        </w:rPr>
        <w:t>r</w:t>
      </w:r>
      <w:r>
        <w:rPr>
          <w:color w:val="231F20"/>
          <w:spacing w:val="-1"/>
          <w:w w:val="109"/>
        </w:rPr>
        <w:t>o</w:t>
      </w:r>
      <w:r>
        <w:rPr>
          <w:color w:val="231F20"/>
          <w:w w:val="107"/>
        </w:rPr>
        <w:t>p</w:t>
      </w:r>
      <w:r>
        <w:rPr>
          <w:color w:val="231F20"/>
          <w:spacing w:val="1"/>
          <w:w w:val="100"/>
        </w:rPr>
        <w:t>e</w:t>
      </w:r>
      <w:r>
        <w:rPr>
          <w:color w:val="231F20"/>
          <w:spacing w:val="-2"/>
          <w:w w:val="101"/>
        </w:rPr>
        <w:t>a</w:t>
      </w:r>
      <w:r>
        <w:rPr>
          <w:color w:val="231F20"/>
          <w:spacing w:val="2"/>
          <w:w w:val="108"/>
        </w:rPr>
        <w:t>n</w:t>
      </w:r>
      <w:r>
        <w:rPr>
          <w:color w:val="231F20"/>
          <w:w w:val="57"/>
        </w:rPr>
        <w:t>/</w:t>
      </w:r>
      <w:r>
        <w:rPr>
          <w:color w:val="231F20"/>
          <w:spacing w:val="-2"/>
          <w:w w:val="116"/>
        </w:rPr>
        <w:t>H</w:t>
      </w:r>
      <w:r>
        <w:rPr>
          <w:color w:val="231F20"/>
          <w:spacing w:val="-1"/>
          <w:w w:val="109"/>
        </w:rPr>
        <w:t>o</w:t>
      </w:r>
      <w:r>
        <w:rPr>
          <w:color w:val="231F20"/>
          <w:spacing w:val="-2"/>
          <w:w w:val="108"/>
        </w:rPr>
        <w:t>n</w:t>
      </w:r>
      <w:r>
        <w:rPr>
          <w:color w:val="231F20"/>
          <w:w w:val="120"/>
        </w:rPr>
        <w:t>g</w:t>
      </w:r>
      <w:r>
        <w:rPr>
          <w:color w:val="231F20"/>
          <w:spacing w:val="-7"/>
        </w:rPr>
        <w:t> </w:t>
      </w:r>
      <w:r>
        <w:rPr>
          <w:color w:val="231F20"/>
          <w:spacing w:val="-4"/>
          <w:w w:val="110"/>
        </w:rPr>
        <w:t>K</w:t>
      </w:r>
      <w:r>
        <w:rPr>
          <w:color w:val="231F20"/>
          <w:spacing w:val="-1"/>
          <w:w w:val="109"/>
        </w:rPr>
        <w:t>o</w:t>
      </w:r>
      <w:r>
        <w:rPr>
          <w:color w:val="231F20"/>
          <w:spacing w:val="-2"/>
          <w:w w:val="108"/>
        </w:rPr>
        <w:t>n</w:t>
      </w:r>
      <w:r>
        <w:rPr>
          <w:color w:val="231F20"/>
          <w:w w:val="120"/>
        </w:rPr>
        <w:t>g</w:t>
      </w:r>
      <w:r>
        <w:rPr>
          <w:color w:val="231F20"/>
          <w:spacing w:val="-7"/>
        </w:rPr>
        <w:t> </w:t>
      </w:r>
      <w:r>
        <w:rPr>
          <w:color w:val="231F20"/>
          <w:spacing w:val="-3"/>
          <w:w w:val="119"/>
        </w:rPr>
        <w:t>B</w:t>
      </w:r>
      <w:r>
        <w:rPr>
          <w:color w:val="231F20"/>
          <w:spacing w:val="-2"/>
          <w:w w:val="108"/>
        </w:rPr>
        <w:t>u</w:t>
      </w:r>
      <w:r>
        <w:rPr>
          <w:color w:val="231F20"/>
          <w:spacing w:val="-2"/>
          <w:w w:val="121"/>
        </w:rPr>
        <w:t>s</w:t>
      </w:r>
      <w:r>
        <w:rPr>
          <w:color w:val="231F20"/>
          <w:spacing w:val="-2"/>
          <w:w w:val="99"/>
        </w:rPr>
        <w:t>i</w:t>
      </w:r>
      <w:r>
        <w:rPr>
          <w:color w:val="231F20"/>
          <w:spacing w:val="-1"/>
          <w:w w:val="99"/>
        </w:rPr>
        <w:t>n</w:t>
      </w:r>
      <w:r>
        <w:rPr>
          <w:color w:val="231F20"/>
          <w:spacing w:val="-1"/>
          <w:w w:val="100"/>
        </w:rPr>
        <w:t>e</w:t>
      </w:r>
      <w:r>
        <w:rPr>
          <w:color w:val="231F20"/>
          <w:spacing w:val="-1"/>
          <w:w w:val="121"/>
        </w:rPr>
        <w:t>s</w:t>
      </w:r>
      <w:r>
        <w:rPr>
          <w:color w:val="231F20"/>
          <w:w w:val="121"/>
        </w:rPr>
        <w:t>s</w:t>
      </w:r>
      <w:r>
        <w:rPr>
          <w:color w:val="231F20"/>
          <w:spacing w:val="-7"/>
        </w:rPr>
        <w:t> </w:t>
      </w:r>
      <w:r>
        <w:rPr>
          <w:color w:val="231F20"/>
          <w:spacing w:val="-1"/>
          <w:w w:val="114"/>
        </w:rPr>
        <w:t>C</w:t>
      </w:r>
      <w:r>
        <w:rPr>
          <w:color w:val="231F20"/>
          <w:spacing w:val="4"/>
          <w:w w:val="109"/>
        </w:rPr>
        <w:t>o</w:t>
      </w:r>
      <w:r>
        <w:rPr>
          <w:color w:val="231F20"/>
          <w:spacing w:val="4"/>
          <w:w w:val="92"/>
        </w:rPr>
        <w:t>-</w:t>
      </w:r>
      <w:r>
        <w:rPr>
          <w:color w:val="231F20"/>
          <w:spacing w:val="-1"/>
          <w:w w:val="109"/>
        </w:rPr>
        <w:t>o</w:t>
      </w:r>
      <w:r>
        <w:rPr>
          <w:color w:val="231F20"/>
          <w:w w:val="107"/>
        </w:rPr>
        <w:t>p</w:t>
      </w:r>
      <w:r>
        <w:rPr>
          <w:color w:val="231F20"/>
          <w:spacing w:val="-1"/>
          <w:w w:val="100"/>
        </w:rPr>
        <w:t>e</w:t>
      </w:r>
      <w:r>
        <w:rPr>
          <w:color w:val="231F20"/>
          <w:w w:val="90"/>
        </w:rPr>
        <w:t>r</w:t>
      </w:r>
      <w:r>
        <w:rPr>
          <w:color w:val="231F20"/>
          <w:spacing w:val="-3"/>
          <w:w w:val="101"/>
        </w:rPr>
        <w:t>a</w:t>
      </w:r>
      <w:r>
        <w:rPr>
          <w:color w:val="231F20"/>
          <w:spacing w:val="-2"/>
          <w:w w:val="83"/>
        </w:rPr>
        <w:t>ti</w:t>
      </w:r>
      <w:r>
        <w:rPr>
          <w:color w:val="231F20"/>
          <w:spacing w:val="-1"/>
          <w:w w:val="109"/>
        </w:rPr>
        <w:t>o</w:t>
      </w:r>
      <w:r>
        <w:rPr>
          <w:color w:val="231F20"/>
          <w:w w:val="108"/>
        </w:rPr>
        <w:t>n</w:t>
      </w:r>
      <w:r>
        <w:rPr>
          <w:color w:val="231F20"/>
          <w:spacing w:val="-7"/>
        </w:rPr>
        <w:t> </w:t>
      </w:r>
      <w:r>
        <w:rPr>
          <w:color w:val="231F20"/>
          <w:spacing w:val="-1"/>
          <w:w w:val="114"/>
        </w:rPr>
        <w:t>C</w:t>
      </w:r>
      <w:r>
        <w:rPr>
          <w:color w:val="231F20"/>
          <w:spacing w:val="-1"/>
          <w:w w:val="109"/>
        </w:rPr>
        <w:t>o</w:t>
      </w:r>
      <w:r>
        <w:rPr>
          <w:color w:val="231F20"/>
          <w:spacing w:val="-2"/>
          <w:w w:val="110"/>
        </w:rPr>
        <w:t>m</w:t>
      </w:r>
      <w:r>
        <w:rPr>
          <w:color w:val="231F20"/>
          <w:spacing w:val="-3"/>
          <w:w w:val="110"/>
        </w:rPr>
        <w:t>m</w:t>
      </w:r>
      <w:r>
        <w:rPr>
          <w:color w:val="231F20"/>
          <w:spacing w:val="-1"/>
          <w:w w:val="83"/>
        </w:rPr>
        <w:t>i</w:t>
      </w:r>
      <w:r>
        <w:rPr>
          <w:color w:val="231F20"/>
          <w:spacing w:val="4"/>
          <w:w w:val="83"/>
        </w:rPr>
        <w:t>t</w:t>
      </w:r>
      <w:r>
        <w:rPr>
          <w:color w:val="231F20"/>
          <w:spacing w:val="-3"/>
          <w:w w:val="83"/>
        </w:rPr>
        <w:t>t</w:t>
      </w:r>
      <w:r>
        <w:rPr>
          <w:color w:val="231F20"/>
          <w:w w:val="100"/>
        </w:rPr>
        <w:t>ee</w:t>
      </w:r>
      <w:r>
        <w:rPr>
          <w:color w:val="231F20"/>
          <w:spacing w:val="-7"/>
        </w:rPr>
        <w:t> </w:t>
      </w:r>
      <w:r>
        <w:rPr>
          <w:color w:val="231F20"/>
          <w:spacing w:val="-5"/>
          <w:w w:val="81"/>
        </w:rPr>
        <w:t>(</w:t>
      </w:r>
      <w:r>
        <w:rPr>
          <w:color w:val="231F20"/>
          <w:spacing w:val="-5"/>
          <w:w w:val="115"/>
        </w:rPr>
        <w:t>E</w:t>
      </w:r>
      <w:r>
        <w:rPr>
          <w:color w:val="231F20"/>
          <w:spacing w:val="-4"/>
          <w:w w:val="117"/>
        </w:rPr>
        <w:t>U</w:t>
      </w:r>
      <w:r>
        <w:rPr>
          <w:color w:val="231F20"/>
          <w:w w:val="57"/>
        </w:rPr>
        <w:t>/</w:t>
      </w:r>
      <w:r>
        <w:rPr>
          <w:color w:val="231F20"/>
          <w:spacing w:val="-4"/>
          <w:w w:val="116"/>
        </w:rPr>
        <w:t>H</w:t>
      </w:r>
      <w:r>
        <w:rPr>
          <w:color w:val="231F20"/>
          <w:w w:val="110"/>
        </w:rPr>
        <w:t>K</w:t>
      </w:r>
      <w:r>
        <w:rPr>
          <w:color w:val="231F20"/>
          <w:spacing w:val="-7"/>
        </w:rPr>
        <w:t> </w:t>
      </w:r>
      <w:r>
        <w:rPr>
          <w:color w:val="231F20"/>
          <w:spacing w:val="-2"/>
          <w:w w:val="119"/>
        </w:rPr>
        <w:t>B</w:t>
      </w:r>
      <w:r>
        <w:rPr>
          <w:color w:val="231F20"/>
          <w:spacing w:val="-2"/>
          <w:w w:val="114"/>
        </w:rPr>
        <w:t>C</w:t>
      </w:r>
      <w:r>
        <w:rPr>
          <w:color w:val="231F20"/>
          <w:spacing w:val="-4"/>
          <w:w w:val="114"/>
        </w:rPr>
        <w:t>C</w:t>
      </w:r>
      <w:r>
        <w:rPr>
          <w:color w:val="231F20"/>
          <w:spacing w:val="-8"/>
          <w:w w:val="81"/>
        </w:rPr>
        <w:t>)</w:t>
      </w:r>
      <w:r>
        <w:rPr>
          <w:color w:val="231F20"/>
          <w:w w:val="78"/>
        </w:rPr>
        <w:t>.</w:t>
      </w:r>
      <w:r>
        <w:rPr>
          <w:color w:val="231F20"/>
          <w:spacing w:val="-7"/>
        </w:rPr>
        <w:t> </w:t>
      </w:r>
      <w:r>
        <w:rPr>
          <w:color w:val="231F20"/>
          <w:spacing w:val="1"/>
          <w:w w:val="96"/>
        </w:rPr>
        <w:t>T</w:t>
      </w:r>
      <w:r>
        <w:rPr>
          <w:color w:val="231F20"/>
          <w:spacing w:val="-1"/>
          <w:w w:val="108"/>
        </w:rPr>
        <w:t>h</w:t>
      </w:r>
      <w:r>
        <w:rPr>
          <w:color w:val="231F20"/>
          <w:w w:val="100"/>
        </w:rPr>
        <w:t>e</w:t>
      </w:r>
      <w:r>
        <w:rPr>
          <w:color w:val="231F20"/>
          <w:spacing w:val="-7"/>
        </w:rPr>
        <w:t> </w:t>
      </w:r>
      <w:r>
        <w:rPr>
          <w:color w:val="231F20"/>
          <w:spacing w:val="-1"/>
          <w:w w:val="90"/>
        </w:rPr>
        <w:t>r</w:t>
      </w:r>
      <w:r>
        <w:rPr>
          <w:color w:val="231F20"/>
          <w:spacing w:val="-1"/>
          <w:w w:val="100"/>
        </w:rPr>
        <w:t>e</w:t>
      </w:r>
      <w:r>
        <w:rPr>
          <w:color w:val="231F20"/>
          <w:spacing w:val="-3"/>
          <w:w w:val="110"/>
        </w:rPr>
        <w:t>m</w:t>
      </w:r>
      <w:r>
        <w:rPr>
          <w:color w:val="231F20"/>
          <w:spacing w:val="-2"/>
          <w:w w:val="108"/>
        </w:rPr>
        <w:t>u</w:t>
      </w:r>
      <w:r>
        <w:rPr>
          <w:color w:val="231F20"/>
          <w:spacing w:val="-1"/>
          <w:w w:val="108"/>
        </w:rPr>
        <w:t>n</w:t>
      </w:r>
      <w:r>
        <w:rPr>
          <w:color w:val="231F20"/>
          <w:spacing w:val="-1"/>
          <w:w w:val="100"/>
        </w:rPr>
        <w:t>e</w:t>
      </w:r>
      <w:r>
        <w:rPr>
          <w:color w:val="231F20"/>
          <w:w w:val="90"/>
        </w:rPr>
        <w:t>r</w:t>
      </w:r>
      <w:r>
        <w:rPr>
          <w:color w:val="231F20"/>
          <w:spacing w:val="-3"/>
          <w:w w:val="101"/>
        </w:rPr>
        <w:t>a</w:t>
      </w:r>
      <w:r>
        <w:rPr>
          <w:color w:val="231F20"/>
          <w:spacing w:val="-2"/>
          <w:w w:val="83"/>
        </w:rPr>
        <w:t>ti</w:t>
      </w:r>
      <w:r>
        <w:rPr>
          <w:color w:val="231F20"/>
          <w:spacing w:val="-1"/>
          <w:w w:val="109"/>
        </w:rPr>
        <w:t>o</w:t>
      </w:r>
      <w:r>
        <w:rPr>
          <w:color w:val="231F20"/>
          <w:w w:val="108"/>
        </w:rPr>
        <w:t>n</w:t>
      </w:r>
      <w:r>
        <w:rPr>
          <w:color w:val="231F20"/>
          <w:spacing w:val="-7"/>
        </w:rPr>
        <w:t> </w:t>
      </w:r>
      <w:r>
        <w:rPr>
          <w:color w:val="231F20"/>
          <w:spacing w:val="-2"/>
          <w:w w:val="99"/>
        </w:rPr>
        <w:t>i</w:t>
      </w:r>
      <w:r>
        <w:rPr>
          <w:color w:val="231F20"/>
          <w:spacing w:val="-1"/>
          <w:w w:val="99"/>
        </w:rPr>
        <w:t>n</w:t>
      </w:r>
      <w:r>
        <w:rPr>
          <w:color w:val="231F20"/>
          <w:w w:val="108"/>
        </w:rPr>
        <w:t>c</w:t>
      </w:r>
      <w:r>
        <w:rPr>
          <w:color w:val="231F20"/>
          <w:spacing w:val="-3"/>
          <w:w w:val="81"/>
        </w:rPr>
        <w:t>l</w:t>
      </w:r>
      <w:r>
        <w:rPr>
          <w:color w:val="231F20"/>
          <w:spacing w:val="-1"/>
          <w:w w:val="108"/>
        </w:rPr>
        <w:t>u</w:t>
      </w:r>
      <w:r>
        <w:rPr>
          <w:color w:val="231F20"/>
          <w:spacing w:val="-1"/>
          <w:w w:val="107"/>
        </w:rPr>
        <w:t>d</w:t>
      </w:r>
      <w:r>
        <w:rPr>
          <w:color w:val="231F20"/>
          <w:spacing w:val="-1"/>
          <w:w w:val="100"/>
        </w:rPr>
        <w:t>e</w:t>
      </w:r>
      <w:r>
        <w:rPr>
          <w:color w:val="231F20"/>
          <w:w w:val="121"/>
        </w:rPr>
        <w:t>s</w:t>
      </w:r>
      <w:r>
        <w:rPr>
          <w:color w:val="231F20"/>
          <w:spacing w:val="-7"/>
        </w:rPr>
        <w:t> </w:t>
      </w:r>
      <w:r>
        <w:rPr>
          <w:color w:val="231F20"/>
          <w:spacing w:val="-2"/>
          <w:w w:val="93"/>
        </w:rPr>
        <w:t>a</w:t>
      </w:r>
      <w:r>
        <w:rPr>
          <w:color w:val="231F20"/>
          <w:spacing w:val="-3"/>
          <w:w w:val="93"/>
        </w:rPr>
        <w:t>l</w:t>
      </w:r>
      <w:r>
        <w:rPr>
          <w:color w:val="231F20"/>
          <w:w w:val="81"/>
        </w:rPr>
        <w:t>l </w:t>
      </w:r>
      <w:r>
        <w:rPr>
          <w:color w:val="231F20"/>
          <w:w w:val="105"/>
        </w:rPr>
        <w:t>compensation</w:t>
      </w:r>
      <w:r>
        <w:rPr>
          <w:color w:val="231F20"/>
          <w:spacing w:val="-14"/>
          <w:w w:val="105"/>
        </w:rPr>
        <w:t> </w:t>
      </w:r>
      <w:r>
        <w:rPr>
          <w:color w:val="231F20"/>
          <w:w w:val="105"/>
        </w:rPr>
        <w:t>received</w:t>
      </w:r>
      <w:r>
        <w:rPr>
          <w:color w:val="231F20"/>
          <w:spacing w:val="-13"/>
          <w:w w:val="105"/>
        </w:rPr>
        <w:t> </w:t>
      </w:r>
      <w:r>
        <w:rPr>
          <w:color w:val="231F20"/>
          <w:w w:val="105"/>
        </w:rPr>
        <w:t>in</w:t>
      </w:r>
      <w:r>
        <w:rPr>
          <w:color w:val="231F20"/>
          <w:spacing w:val="-13"/>
          <w:w w:val="105"/>
        </w:rPr>
        <w:t> </w:t>
      </w:r>
      <w:r>
        <w:rPr>
          <w:color w:val="231F20"/>
          <w:w w:val="105"/>
        </w:rPr>
        <w:t>relation</w:t>
      </w:r>
      <w:r>
        <w:rPr>
          <w:color w:val="231F20"/>
          <w:spacing w:val="-14"/>
          <w:w w:val="105"/>
        </w:rPr>
        <w:t> </w:t>
      </w:r>
      <w:r>
        <w:rPr>
          <w:color w:val="231F20"/>
          <w:w w:val="105"/>
        </w:rPr>
        <w:t>to</w:t>
      </w:r>
      <w:r>
        <w:rPr>
          <w:color w:val="231F20"/>
          <w:spacing w:val="-13"/>
          <w:w w:val="105"/>
        </w:rPr>
        <w:t> </w:t>
      </w:r>
      <w:r>
        <w:rPr>
          <w:color w:val="231F20"/>
          <w:w w:val="105"/>
        </w:rPr>
        <w:t>these</w:t>
      </w:r>
      <w:r>
        <w:rPr>
          <w:color w:val="231F20"/>
          <w:spacing w:val="-13"/>
          <w:w w:val="105"/>
        </w:rPr>
        <w:t> </w:t>
      </w:r>
      <w:r>
        <w:rPr>
          <w:color w:val="231F20"/>
          <w:w w:val="105"/>
        </w:rPr>
        <w:t>activities.</w:t>
      </w:r>
      <w:r>
        <w:rPr>
          <w:color w:val="231F20"/>
          <w:spacing w:val="-10"/>
          <w:w w:val="105"/>
        </w:rPr>
        <w:t> </w:t>
      </w:r>
      <w:r>
        <w:rPr>
          <w:color w:val="231F20"/>
          <w:w w:val="105"/>
        </w:rPr>
        <w:t>His</w:t>
      </w:r>
      <w:r>
        <w:rPr>
          <w:color w:val="231F20"/>
          <w:spacing w:val="-9"/>
          <w:w w:val="105"/>
        </w:rPr>
        <w:t> </w:t>
      </w:r>
      <w:r>
        <w:rPr>
          <w:color w:val="231F20"/>
          <w:w w:val="105"/>
        </w:rPr>
        <w:t>total</w:t>
      </w:r>
      <w:r>
        <w:rPr>
          <w:color w:val="231F20"/>
          <w:spacing w:val="-10"/>
          <w:w w:val="105"/>
        </w:rPr>
        <w:t> </w:t>
      </w:r>
      <w:r>
        <w:rPr>
          <w:color w:val="231F20"/>
          <w:w w:val="105"/>
        </w:rPr>
        <w:t>compensation</w:t>
      </w:r>
      <w:r>
        <w:rPr>
          <w:color w:val="231F20"/>
          <w:spacing w:val="-10"/>
          <w:w w:val="105"/>
        </w:rPr>
        <w:t> </w:t>
      </w:r>
      <w:r>
        <w:rPr>
          <w:color w:val="231F20"/>
          <w:w w:val="105"/>
        </w:rPr>
        <w:t>was:</w:t>
      </w:r>
    </w:p>
    <w:p>
      <w:pPr>
        <w:pStyle w:val="BodyText"/>
        <w:spacing w:before="11"/>
      </w:pPr>
    </w:p>
    <w:tbl>
      <w:tblPr>
        <w:tblW w:w="0" w:type="auto"/>
        <w:jc w:val="left"/>
        <w:tblInd w:w="5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405"/>
        <w:gridCol w:w="2085"/>
        <w:gridCol w:w="1913"/>
        <w:gridCol w:w="1603"/>
        <w:gridCol w:w="1315"/>
      </w:tblGrid>
      <w:tr>
        <w:trPr>
          <w:trHeight w:val="477" w:hRule="atLeast"/>
        </w:trPr>
        <w:tc>
          <w:tcPr>
            <w:tcW w:w="3405" w:type="dxa"/>
            <w:tcBorders>
              <w:top w:val="single" w:sz="2" w:space="0" w:color="231F20"/>
              <w:bottom w:val="single" w:sz="2" w:space="0" w:color="231F20"/>
            </w:tcBorders>
          </w:tcPr>
          <w:p>
            <w:pPr>
              <w:pStyle w:val="TableParagraph"/>
              <w:spacing w:line="240" w:lineRule="auto" w:before="0"/>
              <w:rPr>
                <w:rFonts w:ascii="Times New Roman"/>
                <w:sz w:val="16"/>
              </w:rPr>
            </w:pPr>
          </w:p>
        </w:tc>
        <w:tc>
          <w:tcPr>
            <w:tcW w:w="2085" w:type="dxa"/>
            <w:tcBorders>
              <w:top w:val="single" w:sz="2" w:space="0" w:color="231F20"/>
              <w:bottom w:val="single" w:sz="2" w:space="0" w:color="231F20"/>
            </w:tcBorders>
          </w:tcPr>
          <w:p>
            <w:pPr>
              <w:pStyle w:val="TableParagraph"/>
              <w:spacing w:line="240" w:lineRule="auto" w:before="2"/>
              <w:rPr>
                <w:sz w:val="19"/>
              </w:rPr>
            </w:pPr>
          </w:p>
          <w:p>
            <w:pPr>
              <w:pStyle w:val="TableParagraph"/>
              <w:spacing w:line="240" w:lineRule="auto" w:before="0"/>
              <w:ind w:right="442"/>
              <w:jc w:val="right"/>
              <w:rPr>
                <w:sz w:val="15"/>
              </w:rPr>
            </w:pPr>
            <w:r>
              <w:rPr>
                <w:color w:val="231F20"/>
                <w:w w:val="105"/>
                <w:sz w:val="15"/>
              </w:rPr>
              <w:t>Number</w:t>
            </w:r>
          </w:p>
        </w:tc>
        <w:tc>
          <w:tcPr>
            <w:tcW w:w="1913" w:type="dxa"/>
            <w:tcBorders>
              <w:top w:val="single" w:sz="2" w:space="0" w:color="231F20"/>
              <w:bottom w:val="single" w:sz="2" w:space="0" w:color="231F20"/>
            </w:tcBorders>
          </w:tcPr>
          <w:p>
            <w:pPr>
              <w:pStyle w:val="TableParagraph"/>
              <w:spacing w:line="240" w:lineRule="auto"/>
              <w:ind w:left="984"/>
              <w:rPr>
                <w:sz w:val="15"/>
              </w:rPr>
            </w:pPr>
            <w:r>
              <w:rPr>
                <w:color w:val="0083CA"/>
                <w:spacing w:val="-5"/>
                <w:w w:val="105"/>
                <w:sz w:val="15"/>
              </w:rPr>
              <w:t>2013</w:t>
            </w:r>
          </w:p>
          <w:p>
            <w:pPr>
              <w:pStyle w:val="TableParagraph"/>
              <w:spacing w:line="240" w:lineRule="auto" w:before="6"/>
              <w:ind w:left="443"/>
              <w:rPr>
                <w:sz w:val="15"/>
              </w:rPr>
            </w:pPr>
            <w:r>
              <w:rPr>
                <w:color w:val="231F20"/>
                <w:sz w:val="15"/>
              </w:rPr>
              <w:t>Value in</w:t>
            </w:r>
            <w:r>
              <w:rPr>
                <w:color w:val="231F20"/>
                <w:spacing w:val="10"/>
                <w:sz w:val="15"/>
              </w:rPr>
              <w:t> </w:t>
            </w:r>
            <w:r>
              <w:rPr>
                <w:color w:val="231F20"/>
                <w:sz w:val="15"/>
              </w:rPr>
              <w:t>CHF</w:t>
            </w:r>
          </w:p>
        </w:tc>
        <w:tc>
          <w:tcPr>
            <w:tcW w:w="1603" w:type="dxa"/>
            <w:tcBorders>
              <w:top w:val="single" w:sz="2" w:space="0" w:color="231F20"/>
              <w:bottom w:val="single" w:sz="2" w:space="0" w:color="231F20"/>
            </w:tcBorders>
          </w:tcPr>
          <w:p>
            <w:pPr>
              <w:pStyle w:val="TableParagraph"/>
              <w:spacing w:line="240" w:lineRule="auto" w:before="2"/>
              <w:rPr>
                <w:sz w:val="19"/>
              </w:rPr>
            </w:pPr>
          </w:p>
          <w:p>
            <w:pPr>
              <w:pStyle w:val="TableParagraph"/>
              <w:spacing w:line="240" w:lineRule="auto" w:before="0"/>
              <w:ind w:right="443"/>
              <w:jc w:val="right"/>
              <w:rPr>
                <w:sz w:val="15"/>
              </w:rPr>
            </w:pPr>
            <w:r>
              <w:rPr>
                <w:color w:val="231F20"/>
                <w:w w:val="105"/>
                <w:sz w:val="15"/>
              </w:rPr>
              <w:t>Number</w:t>
            </w:r>
          </w:p>
        </w:tc>
        <w:tc>
          <w:tcPr>
            <w:tcW w:w="1315" w:type="dxa"/>
            <w:tcBorders>
              <w:top w:val="single" w:sz="2" w:space="0" w:color="231F20"/>
              <w:bottom w:val="single" w:sz="2" w:space="0" w:color="231F20"/>
            </w:tcBorders>
          </w:tcPr>
          <w:p>
            <w:pPr>
              <w:pStyle w:val="TableParagraph"/>
              <w:spacing w:line="240" w:lineRule="auto"/>
              <w:ind w:right="10"/>
              <w:jc w:val="right"/>
              <w:rPr>
                <w:sz w:val="15"/>
              </w:rPr>
            </w:pPr>
            <w:r>
              <w:rPr>
                <w:color w:val="586670"/>
                <w:spacing w:val="-6"/>
                <w:w w:val="105"/>
                <w:sz w:val="15"/>
              </w:rPr>
              <w:t>2012</w:t>
            </w:r>
          </w:p>
          <w:p>
            <w:pPr>
              <w:pStyle w:val="TableParagraph"/>
              <w:spacing w:line="240" w:lineRule="auto" w:before="6"/>
              <w:jc w:val="right"/>
              <w:rPr>
                <w:sz w:val="15"/>
              </w:rPr>
            </w:pPr>
            <w:r>
              <w:rPr>
                <w:color w:val="231F20"/>
                <w:sz w:val="15"/>
              </w:rPr>
              <w:t>Value in</w:t>
            </w:r>
            <w:r>
              <w:rPr>
                <w:color w:val="231F20"/>
                <w:spacing w:val="10"/>
                <w:sz w:val="15"/>
              </w:rPr>
              <w:t> </w:t>
            </w:r>
            <w:r>
              <w:rPr>
                <w:color w:val="231F20"/>
                <w:sz w:val="15"/>
              </w:rPr>
              <w:t>CHF</w:t>
            </w:r>
          </w:p>
        </w:tc>
      </w:tr>
      <w:tr>
        <w:trPr>
          <w:trHeight w:val="232" w:hRule="atLeast"/>
        </w:trPr>
        <w:tc>
          <w:tcPr>
            <w:tcW w:w="3405" w:type="dxa"/>
            <w:tcBorders>
              <w:top w:val="single" w:sz="2" w:space="0" w:color="231F20"/>
              <w:bottom w:val="single" w:sz="2" w:space="0" w:color="8F999F"/>
            </w:tcBorders>
          </w:tcPr>
          <w:p>
            <w:pPr>
              <w:pStyle w:val="TableParagraph"/>
              <w:spacing w:before="40"/>
              <w:rPr>
                <w:sz w:val="15"/>
              </w:rPr>
            </w:pPr>
            <w:r>
              <w:rPr>
                <w:color w:val="231F20"/>
                <w:w w:val="105"/>
                <w:sz w:val="15"/>
              </w:rPr>
              <w:t>Cash compensation</w:t>
            </w:r>
          </w:p>
        </w:tc>
        <w:tc>
          <w:tcPr>
            <w:tcW w:w="2085" w:type="dxa"/>
            <w:tcBorders>
              <w:top w:val="single" w:sz="2" w:space="0" w:color="231F20"/>
              <w:bottom w:val="single" w:sz="2" w:space="0" w:color="8F999F"/>
            </w:tcBorders>
          </w:tcPr>
          <w:p>
            <w:pPr>
              <w:pStyle w:val="TableParagraph"/>
              <w:spacing w:line="240" w:lineRule="auto" w:before="0"/>
              <w:rPr>
                <w:rFonts w:ascii="Times New Roman"/>
                <w:sz w:val="16"/>
              </w:rPr>
            </w:pPr>
          </w:p>
        </w:tc>
        <w:tc>
          <w:tcPr>
            <w:tcW w:w="1913" w:type="dxa"/>
            <w:tcBorders>
              <w:top w:val="single" w:sz="2" w:space="0" w:color="231F20"/>
              <w:bottom w:val="single" w:sz="2" w:space="0" w:color="8F999F"/>
            </w:tcBorders>
          </w:tcPr>
          <w:p>
            <w:pPr>
              <w:pStyle w:val="TableParagraph"/>
              <w:spacing w:before="40"/>
              <w:ind w:left="548" w:right="517"/>
              <w:jc w:val="center"/>
              <w:rPr>
                <w:sz w:val="15"/>
              </w:rPr>
            </w:pPr>
            <w:r>
              <w:rPr>
                <w:color w:val="0083CA"/>
                <w:w w:val="105"/>
                <w:sz w:val="15"/>
              </w:rPr>
              <w:t>1 600 000</w:t>
            </w:r>
          </w:p>
        </w:tc>
        <w:tc>
          <w:tcPr>
            <w:tcW w:w="1603" w:type="dxa"/>
            <w:tcBorders>
              <w:top w:val="single" w:sz="2" w:space="0" w:color="231F20"/>
              <w:bottom w:val="single" w:sz="2" w:space="0" w:color="8F999F"/>
            </w:tcBorders>
          </w:tcPr>
          <w:p>
            <w:pPr>
              <w:pStyle w:val="TableParagraph"/>
              <w:spacing w:line="240" w:lineRule="auto" w:before="0"/>
              <w:rPr>
                <w:rFonts w:ascii="Times New Roman"/>
                <w:sz w:val="16"/>
              </w:rPr>
            </w:pPr>
          </w:p>
        </w:tc>
        <w:tc>
          <w:tcPr>
            <w:tcW w:w="1315" w:type="dxa"/>
            <w:tcBorders>
              <w:top w:val="single" w:sz="2" w:space="0" w:color="231F20"/>
              <w:bottom w:val="single" w:sz="2" w:space="0" w:color="8F999F"/>
            </w:tcBorders>
          </w:tcPr>
          <w:p>
            <w:pPr>
              <w:pStyle w:val="TableParagraph"/>
              <w:spacing w:before="40"/>
              <w:ind w:right="-15"/>
              <w:jc w:val="right"/>
              <w:rPr>
                <w:sz w:val="15"/>
              </w:rPr>
            </w:pPr>
            <w:r>
              <w:rPr>
                <w:color w:val="586670"/>
                <w:w w:val="105"/>
                <w:sz w:val="15"/>
              </w:rPr>
              <w:t>1 600 000</w:t>
            </w:r>
          </w:p>
        </w:tc>
      </w:tr>
      <w:tr>
        <w:trPr>
          <w:trHeight w:val="235" w:hRule="atLeast"/>
        </w:trPr>
        <w:tc>
          <w:tcPr>
            <w:tcW w:w="3405" w:type="dxa"/>
            <w:tcBorders>
              <w:top w:val="single" w:sz="2" w:space="0" w:color="8F999F"/>
              <w:bottom w:val="single" w:sz="2" w:space="0" w:color="8F999F"/>
            </w:tcBorders>
          </w:tcPr>
          <w:p>
            <w:pPr>
              <w:pStyle w:val="TableParagraph"/>
              <w:rPr>
                <w:sz w:val="15"/>
              </w:rPr>
            </w:pPr>
            <w:r>
              <w:rPr>
                <w:color w:val="231F20"/>
                <w:sz w:val="15"/>
              </w:rPr>
              <w:t>Blocked shares (discounted value)</w:t>
            </w:r>
          </w:p>
        </w:tc>
        <w:tc>
          <w:tcPr>
            <w:tcW w:w="2085" w:type="dxa"/>
            <w:tcBorders>
              <w:top w:val="single" w:sz="2" w:space="0" w:color="8F999F"/>
              <w:bottom w:val="single" w:sz="2" w:space="0" w:color="8F999F"/>
            </w:tcBorders>
          </w:tcPr>
          <w:p>
            <w:pPr>
              <w:pStyle w:val="TableParagraph"/>
              <w:ind w:right="442"/>
              <w:jc w:val="right"/>
              <w:rPr>
                <w:sz w:val="15"/>
              </w:rPr>
            </w:pPr>
            <w:r>
              <w:rPr>
                <w:color w:val="0083CA"/>
                <w:w w:val="105"/>
                <w:sz w:val="15"/>
              </w:rPr>
              <w:t>97 636</w:t>
            </w:r>
          </w:p>
        </w:tc>
        <w:tc>
          <w:tcPr>
            <w:tcW w:w="1913" w:type="dxa"/>
            <w:tcBorders>
              <w:top w:val="single" w:sz="2" w:space="0" w:color="8F999F"/>
              <w:bottom w:val="single" w:sz="2" w:space="0" w:color="8F999F"/>
            </w:tcBorders>
          </w:tcPr>
          <w:p>
            <w:pPr>
              <w:pStyle w:val="TableParagraph"/>
              <w:ind w:left="548" w:right="508"/>
              <w:jc w:val="center"/>
              <w:rPr>
                <w:sz w:val="15"/>
              </w:rPr>
            </w:pPr>
            <w:r>
              <w:rPr>
                <w:color w:val="0083CA"/>
                <w:w w:val="105"/>
                <w:sz w:val="15"/>
              </w:rPr>
              <w:t>5 373 885</w:t>
            </w:r>
          </w:p>
        </w:tc>
        <w:tc>
          <w:tcPr>
            <w:tcW w:w="1603" w:type="dxa"/>
            <w:tcBorders>
              <w:top w:val="single" w:sz="2" w:space="0" w:color="8F999F"/>
              <w:bottom w:val="single" w:sz="2" w:space="0" w:color="8F999F"/>
            </w:tcBorders>
          </w:tcPr>
          <w:p>
            <w:pPr>
              <w:pStyle w:val="TableParagraph"/>
              <w:ind w:right="443"/>
              <w:jc w:val="right"/>
              <w:rPr>
                <w:sz w:val="15"/>
              </w:rPr>
            </w:pPr>
            <w:r>
              <w:rPr>
                <w:color w:val="586670"/>
                <w:w w:val="105"/>
                <w:sz w:val="15"/>
              </w:rPr>
              <w:t>115 316</w:t>
            </w:r>
          </w:p>
        </w:tc>
        <w:tc>
          <w:tcPr>
            <w:tcW w:w="1315" w:type="dxa"/>
            <w:tcBorders>
              <w:top w:val="single" w:sz="2" w:space="0" w:color="8F999F"/>
              <w:bottom w:val="single" w:sz="2" w:space="0" w:color="8F999F"/>
            </w:tcBorders>
          </w:tcPr>
          <w:p>
            <w:pPr>
              <w:pStyle w:val="TableParagraph"/>
              <w:jc w:val="right"/>
              <w:rPr>
                <w:sz w:val="15"/>
              </w:rPr>
            </w:pPr>
            <w:r>
              <w:rPr>
                <w:color w:val="586670"/>
                <w:w w:val="105"/>
                <w:sz w:val="15"/>
              </w:rPr>
              <w:t>5 373 726</w:t>
            </w:r>
          </w:p>
        </w:tc>
      </w:tr>
      <w:tr>
        <w:trPr>
          <w:trHeight w:val="235" w:hRule="atLeast"/>
        </w:trPr>
        <w:tc>
          <w:tcPr>
            <w:tcW w:w="3405" w:type="dxa"/>
            <w:tcBorders>
              <w:top w:val="single" w:sz="2" w:space="0" w:color="8F999F"/>
              <w:bottom w:val="single" w:sz="4" w:space="0" w:color="231F20"/>
            </w:tcBorders>
          </w:tcPr>
          <w:p>
            <w:pPr>
              <w:pStyle w:val="TableParagraph"/>
              <w:rPr>
                <w:b/>
                <w:sz w:val="15"/>
              </w:rPr>
            </w:pPr>
            <w:r>
              <w:rPr>
                <w:b/>
                <w:color w:val="586670"/>
                <w:w w:val="105"/>
                <w:sz w:val="15"/>
              </w:rPr>
              <w:t>Total compensation</w:t>
            </w:r>
          </w:p>
        </w:tc>
        <w:tc>
          <w:tcPr>
            <w:tcW w:w="2085" w:type="dxa"/>
            <w:tcBorders>
              <w:top w:val="single" w:sz="2" w:space="0" w:color="8F999F"/>
              <w:bottom w:val="single" w:sz="4" w:space="0" w:color="231F20"/>
            </w:tcBorders>
          </w:tcPr>
          <w:p>
            <w:pPr>
              <w:pStyle w:val="TableParagraph"/>
              <w:spacing w:line="240" w:lineRule="auto" w:before="0"/>
              <w:rPr>
                <w:rFonts w:ascii="Times New Roman"/>
                <w:sz w:val="16"/>
              </w:rPr>
            </w:pPr>
          </w:p>
        </w:tc>
        <w:tc>
          <w:tcPr>
            <w:tcW w:w="1913" w:type="dxa"/>
            <w:tcBorders>
              <w:top w:val="single" w:sz="2" w:space="0" w:color="8F999F"/>
              <w:bottom w:val="single" w:sz="4" w:space="0" w:color="231F20"/>
            </w:tcBorders>
          </w:tcPr>
          <w:p>
            <w:pPr>
              <w:pStyle w:val="TableParagraph"/>
              <w:ind w:left="543" w:right="579"/>
              <w:jc w:val="center"/>
              <w:rPr>
                <w:b/>
                <w:sz w:val="15"/>
              </w:rPr>
            </w:pPr>
            <w:r>
              <w:rPr>
                <w:b/>
                <w:color w:val="0083CA"/>
                <w:w w:val="105"/>
                <w:sz w:val="15"/>
              </w:rPr>
              <w:t>6 973 885</w:t>
            </w:r>
          </w:p>
        </w:tc>
        <w:tc>
          <w:tcPr>
            <w:tcW w:w="1603" w:type="dxa"/>
            <w:tcBorders>
              <w:top w:val="single" w:sz="2" w:space="0" w:color="8F999F"/>
              <w:bottom w:val="single" w:sz="4" w:space="0" w:color="231F20"/>
            </w:tcBorders>
          </w:tcPr>
          <w:p>
            <w:pPr>
              <w:pStyle w:val="TableParagraph"/>
              <w:spacing w:line="240" w:lineRule="auto" w:before="0"/>
              <w:rPr>
                <w:rFonts w:ascii="Times New Roman"/>
                <w:sz w:val="16"/>
              </w:rPr>
            </w:pPr>
          </w:p>
        </w:tc>
        <w:tc>
          <w:tcPr>
            <w:tcW w:w="1315" w:type="dxa"/>
            <w:tcBorders>
              <w:top w:val="single" w:sz="2" w:space="0" w:color="8F999F"/>
              <w:bottom w:val="single" w:sz="4" w:space="0" w:color="231F20"/>
            </w:tcBorders>
          </w:tcPr>
          <w:p>
            <w:pPr>
              <w:pStyle w:val="TableParagraph"/>
              <w:jc w:val="right"/>
              <w:rPr>
                <w:b/>
                <w:sz w:val="15"/>
              </w:rPr>
            </w:pPr>
            <w:r>
              <w:rPr>
                <w:b/>
                <w:color w:val="586670"/>
                <w:w w:val="105"/>
                <w:sz w:val="15"/>
              </w:rPr>
              <w:t>6 973 726</w:t>
            </w:r>
          </w:p>
        </w:tc>
      </w:tr>
    </w:tbl>
    <w:p>
      <w:pPr>
        <w:pStyle w:val="BodyText"/>
        <w:rPr>
          <w:sz w:val="22"/>
        </w:rPr>
      </w:pPr>
    </w:p>
    <w:p>
      <w:pPr>
        <w:pStyle w:val="BodyText"/>
        <w:spacing w:before="8"/>
        <w:rPr>
          <w:sz w:val="19"/>
        </w:rPr>
      </w:pPr>
    </w:p>
    <w:p>
      <w:pPr>
        <w:pStyle w:val="BodyText"/>
        <w:spacing w:line="276" w:lineRule="auto" w:before="1"/>
        <w:ind w:left="560" w:right="1085"/>
      </w:pPr>
      <w:r>
        <w:rPr>
          <w:color w:val="231F20"/>
        </w:rPr>
        <w:t>In view of the progressive transfer of responsibilities from the Chairman to the </w:t>
      </w:r>
      <w:r>
        <w:rPr>
          <w:color w:val="231F20"/>
          <w:spacing w:val="-4"/>
        </w:rPr>
        <w:t>CEO, </w:t>
      </w:r>
      <w:r>
        <w:rPr>
          <w:color w:val="231F20"/>
        </w:rPr>
        <w:t>the Board of Directors has upon proposal by the Compensation Committee approved a reduction of </w:t>
      </w:r>
      <w:r>
        <w:rPr>
          <w:color w:val="231F20"/>
          <w:spacing w:val="-4"/>
        </w:rPr>
        <w:t>10% </w:t>
      </w:r>
      <w:r>
        <w:rPr>
          <w:color w:val="231F20"/>
        </w:rPr>
        <w:t>in the remuneration of the Chairman for</w:t>
      </w:r>
      <w:r>
        <w:rPr>
          <w:color w:val="231F20"/>
          <w:spacing w:val="-7"/>
        </w:rPr>
        <w:t> </w:t>
      </w:r>
      <w:r>
        <w:rPr>
          <w:color w:val="231F20"/>
          <w:spacing w:val="-6"/>
        </w:rPr>
        <w:t>2014.</w:t>
      </w:r>
    </w:p>
    <w:p>
      <w:pPr>
        <w:spacing w:after="0" w:line="276" w:lineRule="auto"/>
        <w:sectPr>
          <w:pgSz w:w="11910" w:h="14750"/>
          <w:pgMar w:header="642" w:footer="509" w:top="840" w:bottom="700" w:left="460" w:right="460"/>
        </w:sectPr>
      </w:pPr>
    </w:p>
    <w:p>
      <w:pPr>
        <w:pStyle w:val="BodyText"/>
        <w:rPr>
          <w:sz w:val="20"/>
        </w:rPr>
      </w:pPr>
    </w:p>
    <w:p>
      <w:pPr>
        <w:pStyle w:val="BodyText"/>
        <w:rPr>
          <w:sz w:val="20"/>
        </w:rPr>
      </w:pPr>
    </w:p>
    <w:p>
      <w:pPr>
        <w:pStyle w:val="BodyText"/>
        <w:spacing w:before="9"/>
        <w:rPr>
          <w:sz w:val="15"/>
        </w:rPr>
      </w:pPr>
    </w:p>
    <w:p>
      <w:pPr>
        <w:pStyle w:val="Heading3"/>
        <w:spacing w:line="276" w:lineRule="auto" w:before="108"/>
        <w:ind w:left="106" w:right="2368"/>
      </w:pPr>
      <w:r>
        <w:rPr>
          <w:color w:val="586670"/>
          <w:w w:val="105"/>
        </w:rPr>
        <w:t>Shares and stock options ownership of the non-executive members of the Board of Directors</w:t>
      </w:r>
      <w:r>
        <w:rPr>
          <w:color w:val="586670"/>
          <w:spacing w:val="56"/>
          <w:w w:val="105"/>
        </w:rPr>
        <w:t> </w:t>
      </w:r>
      <w:r>
        <w:rPr>
          <w:color w:val="586670"/>
          <w:w w:val="105"/>
        </w:rPr>
        <w:t>and closely related parties on </w:t>
      </w:r>
      <w:r>
        <w:rPr>
          <w:color w:val="586670"/>
          <w:spacing w:val="-4"/>
          <w:w w:val="105"/>
        </w:rPr>
        <w:t>31 </w:t>
      </w:r>
      <w:r>
        <w:rPr>
          <w:color w:val="586670"/>
          <w:w w:val="105"/>
        </w:rPr>
        <w:t>December</w:t>
      </w:r>
      <w:r>
        <w:rPr>
          <w:color w:val="586670"/>
          <w:spacing w:val="-15"/>
          <w:w w:val="105"/>
        </w:rPr>
        <w:t> </w:t>
      </w:r>
      <w:r>
        <w:rPr>
          <w:color w:val="586670"/>
          <w:spacing w:val="-4"/>
          <w:w w:val="105"/>
        </w:rPr>
        <w:t>2013</w:t>
      </w:r>
    </w:p>
    <w:p>
      <w:pPr>
        <w:pStyle w:val="BodyText"/>
        <w:spacing w:before="1"/>
        <w:rPr>
          <w:b/>
          <w:sz w:val="19"/>
        </w:rPr>
      </w:pPr>
    </w:p>
    <w:tbl>
      <w:tblPr>
        <w:tblW w:w="0" w:type="auto"/>
        <w:jc w:val="left"/>
        <w:tblInd w:w="1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363"/>
        <w:gridCol w:w="3575"/>
        <w:gridCol w:w="1381"/>
      </w:tblGrid>
      <w:tr>
        <w:trPr>
          <w:trHeight w:val="477" w:hRule="atLeast"/>
        </w:trPr>
        <w:tc>
          <w:tcPr>
            <w:tcW w:w="5363" w:type="dxa"/>
            <w:tcBorders>
              <w:top w:val="single" w:sz="2" w:space="0" w:color="231F20"/>
              <w:bottom w:val="single" w:sz="2" w:space="0" w:color="231F20"/>
            </w:tcBorders>
          </w:tcPr>
          <w:p>
            <w:pPr>
              <w:pStyle w:val="TableParagraph"/>
              <w:spacing w:line="240" w:lineRule="auto" w:before="0"/>
              <w:rPr>
                <w:rFonts w:ascii="Times New Roman"/>
                <w:sz w:val="16"/>
              </w:rPr>
            </w:pPr>
          </w:p>
        </w:tc>
        <w:tc>
          <w:tcPr>
            <w:tcW w:w="3575" w:type="dxa"/>
            <w:tcBorders>
              <w:top w:val="single" w:sz="2" w:space="0" w:color="231F20"/>
              <w:bottom w:val="single" w:sz="2" w:space="0" w:color="231F20"/>
            </w:tcBorders>
          </w:tcPr>
          <w:p>
            <w:pPr>
              <w:pStyle w:val="TableParagraph"/>
              <w:spacing w:line="247" w:lineRule="auto"/>
              <w:ind w:left="2262" w:right="362" w:firstLine="203"/>
              <w:rPr>
                <w:sz w:val="10"/>
              </w:rPr>
            </w:pPr>
            <w:r>
              <w:rPr>
                <w:color w:val="231F20"/>
                <w:sz w:val="15"/>
              </w:rPr>
              <w:t>Number of shares held </w:t>
            </w:r>
            <w:r>
              <w:rPr>
                <w:color w:val="231F20"/>
                <w:position w:val="4"/>
                <w:sz w:val="10"/>
              </w:rPr>
              <w:t>(a)</w:t>
            </w:r>
          </w:p>
        </w:tc>
        <w:tc>
          <w:tcPr>
            <w:tcW w:w="1381" w:type="dxa"/>
            <w:tcBorders>
              <w:top w:val="single" w:sz="2" w:space="0" w:color="231F20"/>
              <w:bottom w:val="single" w:sz="2" w:space="0" w:color="231F20"/>
            </w:tcBorders>
          </w:tcPr>
          <w:p>
            <w:pPr>
              <w:pStyle w:val="TableParagraph"/>
              <w:spacing w:line="247" w:lineRule="auto"/>
              <w:ind w:left="375" w:right="-15" w:firstLine="273"/>
              <w:rPr>
                <w:sz w:val="10"/>
              </w:rPr>
            </w:pPr>
            <w:r>
              <w:rPr>
                <w:color w:val="231F20"/>
                <w:sz w:val="15"/>
              </w:rPr>
              <w:t>Number of options held </w:t>
            </w:r>
            <w:r>
              <w:rPr>
                <w:color w:val="231F20"/>
                <w:position w:val="4"/>
                <w:sz w:val="10"/>
              </w:rPr>
              <w:t>(b)</w:t>
            </w:r>
          </w:p>
        </w:tc>
      </w:tr>
      <w:tr>
        <w:trPr>
          <w:trHeight w:val="232" w:hRule="atLeast"/>
        </w:trPr>
        <w:tc>
          <w:tcPr>
            <w:tcW w:w="5363" w:type="dxa"/>
            <w:tcBorders>
              <w:top w:val="single" w:sz="2" w:space="0" w:color="231F20"/>
              <w:bottom w:val="single" w:sz="2" w:space="0" w:color="8F999F"/>
            </w:tcBorders>
          </w:tcPr>
          <w:p>
            <w:pPr>
              <w:pStyle w:val="TableParagraph"/>
              <w:spacing w:before="40"/>
              <w:rPr>
                <w:sz w:val="15"/>
              </w:rPr>
            </w:pPr>
            <w:r>
              <w:rPr>
                <w:color w:val="231F20"/>
                <w:sz w:val="15"/>
              </w:rPr>
              <w:t>Peter Brabeck-Letmathe, Chairman</w:t>
            </w:r>
          </w:p>
        </w:tc>
        <w:tc>
          <w:tcPr>
            <w:tcW w:w="3575" w:type="dxa"/>
            <w:tcBorders>
              <w:top w:val="single" w:sz="2" w:space="0" w:color="231F20"/>
              <w:bottom w:val="single" w:sz="2" w:space="0" w:color="8F999F"/>
            </w:tcBorders>
          </w:tcPr>
          <w:p>
            <w:pPr>
              <w:pStyle w:val="TableParagraph"/>
              <w:spacing w:before="40"/>
              <w:ind w:right="375"/>
              <w:jc w:val="right"/>
              <w:rPr>
                <w:sz w:val="15"/>
              </w:rPr>
            </w:pPr>
            <w:r>
              <w:rPr>
                <w:color w:val="0083CA"/>
                <w:w w:val="105"/>
                <w:sz w:val="15"/>
              </w:rPr>
              <w:t>2 795 465</w:t>
            </w:r>
          </w:p>
        </w:tc>
        <w:tc>
          <w:tcPr>
            <w:tcW w:w="1381" w:type="dxa"/>
            <w:tcBorders>
              <w:top w:val="single" w:sz="2" w:space="0" w:color="231F20"/>
              <w:bottom w:val="single" w:sz="2" w:space="0" w:color="8F999F"/>
            </w:tcBorders>
          </w:tcPr>
          <w:p>
            <w:pPr>
              <w:pStyle w:val="TableParagraph"/>
              <w:spacing w:before="40"/>
              <w:jc w:val="right"/>
              <w:rPr>
                <w:sz w:val="15"/>
              </w:rPr>
            </w:pPr>
            <w:r>
              <w:rPr>
                <w:color w:val="0083CA"/>
                <w:w w:val="105"/>
                <w:sz w:val="15"/>
              </w:rPr>
              <w:t>1 707 600</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sz w:val="15"/>
              </w:rPr>
              <w:t>Andreas Koopmann, 1st Vice Chairman</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83 289</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sz w:val="15"/>
              </w:rPr>
              <w:t>Rolf Hänggi, 2nd Vice Chairman</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82 922</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w w:val="105"/>
                <w:sz w:val="15"/>
              </w:rPr>
              <w:t>Beat Hess</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23 803</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sz w:val="15"/>
              </w:rPr>
              <w:t>Daniel Borel</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231 749</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sz w:val="15"/>
              </w:rPr>
              <w:t>Jean-Pierre Meyers</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1 430 898</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w w:val="105"/>
                <w:sz w:val="15"/>
              </w:rPr>
              <w:t>Steven G. Hoch</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219 018</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sz w:val="15"/>
              </w:rPr>
              <w:t>Naïna Lal Kidwai</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18 849</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sz w:val="15"/>
              </w:rPr>
              <w:t>Titia de Lange</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10 073</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sz w:val="15"/>
              </w:rPr>
              <w:t>Jean-Pierre Roth</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9 738</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w w:val="105"/>
                <w:sz w:val="15"/>
              </w:rPr>
              <w:t>Ann M. Veneman</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8 006</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sz w:val="15"/>
              </w:rPr>
              <w:t>Henri de Castries</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6 323</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2" w:space="0" w:color="8F999F"/>
            </w:tcBorders>
          </w:tcPr>
          <w:p>
            <w:pPr>
              <w:pStyle w:val="TableParagraph"/>
              <w:rPr>
                <w:sz w:val="15"/>
              </w:rPr>
            </w:pPr>
            <w:r>
              <w:rPr>
                <w:color w:val="231F20"/>
                <w:w w:val="105"/>
                <w:sz w:val="15"/>
              </w:rPr>
              <w:t>Eva Cheng</w:t>
            </w:r>
          </w:p>
        </w:tc>
        <w:tc>
          <w:tcPr>
            <w:tcW w:w="3575" w:type="dxa"/>
            <w:tcBorders>
              <w:top w:val="single" w:sz="2" w:space="0" w:color="8F999F"/>
              <w:bottom w:val="single" w:sz="2" w:space="0" w:color="8F999F"/>
            </w:tcBorders>
          </w:tcPr>
          <w:p>
            <w:pPr>
              <w:pStyle w:val="TableParagraph"/>
              <w:ind w:right="375"/>
              <w:jc w:val="right"/>
              <w:rPr>
                <w:sz w:val="15"/>
              </w:rPr>
            </w:pPr>
            <w:r>
              <w:rPr>
                <w:color w:val="0083CA"/>
                <w:w w:val="105"/>
                <w:sz w:val="15"/>
              </w:rPr>
              <w:t>2 136</w:t>
            </w:r>
          </w:p>
        </w:tc>
        <w:tc>
          <w:tcPr>
            <w:tcW w:w="1381" w:type="dxa"/>
            <w:tcBorders>
              <w:top w:val="single" w:sz="2" w:space="0" w:color="8F999F"/>
              <w:bottom w:val="single" w:sz="2" w:space="0" w:color="8F999F"/>
            </w:tcBorders>
          </w:tcPr>
          <w:p>
            <w:pPr>
              <w:pStyle w:val="TableParagraph"/>
              <w:jc w:val="right"/>
              <w:rPr>
                <w:sz w:val="15"/>
              </w:rPr>
            </w:pPr>
            <w:r>
              <w:rPr>
                <w:color w:val="0083CA"/>
                <w:w w:val="139"/>
                <w:sz w:val="15"/>
              </w:rPr>
              <w:t>–</w:t>
            </w:r>
          </w:p>
        </w:tc>
      </w:tr>
      <w:tr>
        <w:trPr>
          <w:trHeight w:val="235" w:hRule="atLeast"/>
        </w:trPr>
        <w:tc>
          <w:tcPr>
            <w:tcW w:w="5363" w:type="dxa"/>
            <w:tcBorders>
              <w:top w:val="single" w:sz="2" w:space="0" w:color="8F999F"/>
              <w:bottom w:val="single" w:sz="4" w:space="0" w:color="231F20"/>
            </w:tcBorders>
          </w:tcPr>
          <w:p>
            <w:pPr>
              <w:pStyle w:val="TableParagraph"/>
              <w:rPr>
                <w:b/>
                <w:sz w:val="15"/>
              </w:rPr>
            </w:pPr>
            <w:r>
              <w:rPr>
                <w:b/>
                <w:color w:val="586670"/>
                <w:w w:val="105"/>
                <w:sz w:val="15"/>
              </w:rPr>
              <w:t>Total as at 31 December 2013</w:t>
            </w:r>
          </w:p>
        </w:tc>
        <w:tc>
          <w:tcPr>
            <w:tcW w:w="3575" w:type="dxa"/>
            <w:tcBorders>
              <w:top w:val="single" w:sz="2" w:space="0" w:color="8F999F"/>
              <w:bottom w:val="single" w:sz="4" w:space="0" w:color="231F20"/>
            </w:tcBorders>
          </w:tcPr>
          <w:p>
            <w:pPr>
              <w:pStyle w:val="TableParagraph"/>
              <w:ind w:right="375"/>
              <w:jc w:val="right"/>
              <w:rPr>
                <w:b/>
                <w:sz w:val="15"/>
              </w:rPr>
            </w:pPr>
            <w:r>
              <w:rPr>
                <w:b/>
                <w:color w:val="0083CA"/>
                <w:w w:val="105"/>
                <w:sz w:val="15"/>
              </w:rPr>
              <w:t>4 922 269</w:t>
            </w:r>
          </w:p>
        </w:tc>
        <w:tc>
          <w:tcPr>
            <w:tcW w:w="1381" w:type="dxa"/>
            <w:tcBorders>
              <w:top w:val="single" w:sz="2" w:space="0" w:color="8F999F"/>
              <w:bottom w:val="single" w:sz="4" w:space="0" w:color="231F20"/>
            </w:tcBorders>
          </w:tcPr>
          <w:p>
            <w:pPr>
              <w:pStyle w:val="TableParagraph"/>
              <w:jc w:val="right"/>
              <w:rPr>
                <w:b/>
                <w:sz w:val="15"/>
              </w:rPr>
            </w:pPr>
            <w:r>
              <w:rPr>
                <w:b/>
                <w:color w:val="0083CA"/>
                <w:w w:val="105"/>
                <w:sz w:val="15"/>
              </w:rPr>
              <w:t>1 707 600</w:t>
            </w:r>
          </w:p>
        </w:tc>
      </w:tr>
      <w:tr>
        <w:trPr>
          <w:trHeight w:val="230" w:hRule="atLeast"/>
        </w:trPr>
        <w:tc>
          <w:tcPr>
            <w:tcW w:w="5363" w:type="dxa"/>
            <w:tcBorders>
              <w:top w:val="single" w:sz="4" w:space="0" w:color="231F20"/>
              <w:bottom w:val="single" w:sz="2" w:space="0" w:color="8F999F"/>
            </w:tcBorders>
          </w:tcPr>
          <w:p>
            <w:pPr>
              <w:pStyle w:val="TableParagraph"/>
              <w:spacing w:line="240" w:lineRule="auto" w:before="0"/>
              <w:rPr>
                <w:rFonts w:ascii="Times New Roman"/>
                <w:sz w:val="16"/>
              </w:rPr>
            </w:pPr>
          </w:p>
        </w:tc>
        <w:tc>
          <w:tcPr>
            <w:tcW w:w="3575" w:type="dxa"/>
            <w:tcBorders>
              <w:top w:val="single" w:sz="4" w:space="0" w:color="231F20"/>
              <w:bottom w:val="single" w:sz="2" w:space="0" w:color="8F999F"/>
            </w:tcBorders>
          </w:tcPr>
          <w:p>
            <w:pPr>
              <w:pStyle w:val="TableParagraph"/>
              <w:spacing w:line="240" w:lineRule="auto" w:before="0"/>
              <w:rPr>
                <w:rFonts w:ascii="Times New Roman"/>
                <w:sz w:val="16"/>
              </w:rPr>
            </w:pPr>
          </w:p>
        </w:tc>
        <w:tc>
          <w:tcPr>
            <w:tcW w:w="1381" w:type="dxa"/>
            <w:tcBorders>
              <w:top w:val="single" w:sz="4" w:space="0" w:color="231F20"/>
              <w:bottom w:val="single" w:sz="2" w:space="0" w:color="8F999F"/>
            </w:tcBorders>
          </w:tcPr>
          <w:p>
            <w:pPr>
              <w:pStyle w:val="TableParagraph"/>
              <w:spacing w:line="240" w:lineRule="auto" w:before="0"/>
              <w:rPr>
                <w:rFonts w:ascii="Times New Roman"/>
                <w:sz w:val="16"/>
              </w:rPr>
            </w:pPr>
          </w:p>
        </w:tc>
      </w:tr>
      <w:tr>
        <w:trPr>
          <w:trHeight w:val="235" w:hRule="atLeast"/>
        </w:trPr>
        <w:tc>
          <w:tcPr>
            <w:tcW w:w="5363" w:type="dxa"/>
            <w:tcBorders>
              <w:top w:val="single" w:sz="2" w:space="0" w:color="8F999F"/>
              <w:bottom w:val="single" w:sz="4" w:space="0" w:color="231F20"/>
            </w:tcBorders>
          </w:tcPr>
          <w:p>
            <w:pPr>
              <w:pStyle w:val="TableParagraph"/>
              <w:rPr>
                <w:sz w:val="15"/>
              </w:rPr>
            </w:pPr>
            <w:r>
              <w:rPr>
                <w:color w:val="231F20"/>
                <w:sz w:val="15"/>
              </w:rPr>
              <w:t>Total as at 31 December 2012</w:t>
            </w:r>
          </w:p>
        </w:tc>
        <w:tc>
          <w:tcPr>
            <w:tcW w:w="3575" w:type="dxa"/>
            <w:tcBorders>
              <w:top w:val="single" w:sz="2" w:space="0" w:color="8F999F"/>
              <w:bottom w:val="single" w:sz="4" w:space="0" w:color="231F20"/>
            </w:tcBorders>
          </w:tcPr>
          <w:p>
            <w:pPr>
              <w:pStyle w:val="TableParagraph"/>
              <w:ind w:right="375"/>
              <w:jc w:val="right"/>
              <w:rPr>
                <w:sz w:val="15"/>
              </w:rPr>
            </w:pPr>
            <w:r>
              <w:rPr>
                <w:color w:val="231F20"/>
                <w:w w:val="105"/>
                <w:sz w:val="15"/>
              </w:rPr>
              <w:t>4 723 350</w:t>
            </w:r>
          </w:p>
        </w:tc>
        <w:tc>
          <w:tcPr>
            <w:tcW w:w="1381" w:type="dxa"/>
            <w:tcBorders>
              <w:top w:val="single" w:sz="2" w:space="0" w:color="8F999F"/>
              <w:bottom w:val="single" w:sz="4" w:space="0" w:color="231F20"/>
            </w:tcBorders>
          </w:tcPr>
          <w:p>
            <w:pPr>
              <w:pStyle w:val="TableParagraph"/>
              <w:jc w:val="right"/>
              <w:rPr>
                <w:sz w:val="15"/>
              </w:rPr>
            </w:pPr>
            <w:r>
              <w:rPr>
                <w:color w:val="231F20"/>
                <w:w w:val="105"/>
                <w:sz w:val="15"/>
              </w:rPr>
              <w:t>2 167 600</w:t>
            </w:r>
          </w:p>
        </w:tc>
      </w:tr>
      <w:tr>
        <w:trPr>
          <w:trHeight w:val="607" w:hRule="atLeast"/>
        </w:trPr>
        <w:tc>
          <w:tcPr>
            <w:tcW w:w="5363" w:type="dxa"/>
            <w:tcBorders>
              <w:top w:val="single" w:sz="4" w:space="0" w:color="231F20"/>
            </w:tcBorders>
          </w:tcPr>
          <w:p>
            <w:pPr>
              <w:pStyle w:val="TableParagraph"/>
              <w:spacing w:line="240" w:lineRule="auto" w:before="0"/>
              <w:rPr>
                <w:b/>
                <w:sz w:val="14"/>
              </w:rPr>
            </w:pPr>
          </w:p>
          <w:p>
            <w:pPr>
              <w:pStyle w:val="TableParagraph"/>
              <w:spacing w:line="240" w:lineRule="auto" w:before="6"/>
              <w:rPr>
                <w:b/>
                <w:sz w:val="11"/>
              </w:rPr>
            </w:pPr>
          </w:p>
          <w:p>
            <w:pPr>
              <w:pStyle w:val="TableParagraph"/>
              <w:numPr>
                <w:ilvl w:val="0"/>
                <w:numId w:val="20"/>
              </w:numPr>
              <w:tabs>
                <w:tab w:pos="227" w:val="left" w:leader="none"/>
              </w:tabs>
              <w:spacing w:line="240" w:lineRule="auto" w:before="0" w:after="0"/>
              <w:ind w:left="226" w:right="0" w:hanging="226"/>
              <w:jc w:val="left"/>
              <w:rPr>
                <w:sz w:val="13"/>
              </w:rPr>
            </w:pPr>
            <w:r>
              <w:rPr>
                <w:color w:val="586670"/>
                <w:sz w:val="13"/>
              </w:rPr>
              <w:t>Including blocked</w:t>
            </w:r>
            <w:r>
              <w:rPr>
                <w:color w:val="586670"/>
                <w:spacing w:val="-14"/>
                <w:sz w:val="13"/>
              </w:rPr>
              <w:t> </w:t>
            </w:r>
            <w:r>
              <w:rPr>
                <w:color w:val="586670"/>
                <w:sz w:val="13"/>
              </w:rPr>
              <w:t>shares.</w:t>
            </w:r>
          </w:p>
          <w:p>
            <w:pPr>
              <w:pStyle w:val="TableParagraph"/>
              <w:numPr>
                <w:ilvl w:val="0"/>
                <w:numId w:val="20"/>
              </w:numPr>
              <w:tabs>
                <w:tab w:pos="227" w:val="left" w:leader="none"/>
              </w:tabs>
              <w:spacing w:line="130" w:lineRule="exact" w:before="9" w:after="0"/>
              <w:ind w:left="226" w:right="0" w:hanging="226"/>
              <w:jc w:val="left"/>
              <w:rPr>
                <w:sz w:val="13"/>
              </w:rPr>
            </w:pPr>
            <w:r>
              <w:rPr>
                <w:color w:val="586670"/>
                <w:sz w:val="13"/>
              </w:rPr>
              <w:t>The</w:t>
            </w:r>
            <w:r>
              <w:rPr>
                <w:color w:val="586670"/>
                <w:spacing w:val="-7"/>
                <w:sz w:val="13"/>
              </w:rPr>
              <w:t> </w:t>
            </w:r>
            <w:r>
              <w:rPr>
                <w:color w:val="586670"/>
                <w:sz w:val="13"/>
              </w:rPr>
              <w:t>ratio</w:t>
            </w:r>
            <w:r>
              <w:rPr>
                <w:color w:val="586670"/>
                <w:spacing w:val="-6"/>
                <w:sz w:val="13"/>
              </w:rPr>
              <w:t> </w:t>
            </w:r>
            <w:r>
              <w:rPr>
                <w:color w:val="586670"/>
                <w:sz w:val="13"/>
              </w:rPr>
              <w:t>is</w:t>
            </w:r>
            <w:r>
              <w:rPr>
                <w:color w:val="586670"/>
                <w:spacing w:val="-7"/>
                <w:sz w:val="13"/>
              </w:rPr>
              <w:t> </w:t>
            </w:r>
            <w:r>
              <w:rPr>
                <w:color w:val="586670"/>
                <w:sz w:val="13"/>
              </w:rPr>
              <w:t>one</w:t>
            </w:r>
            <w:r>
              <w:rPr>
                <w:color w:val="586670"/>
                <w:spacing w:val="-6"/>
                <w:sz w:val="13"/>
              </w:rPr>
              <w:t> </w:t>
            </w:r>
            <w:r>
              <w:rPr>
                <w:color w:val="586670"/>
                <w:sz w:val="13"/>
              </w:rPr>
              <w:t>option</w:t>
            </w:r>
            <w:r>
              <w:rPr>
                <w:color w:val="586670"/>
                <w:spacing w:val="-7"/>
                <w:sz w:val="13"/>
              </w:rPr>
              <w:t> </w:t>
            </w:r>
            <w:r>
              <w:rPr>
                <w:color w:val="586670"/>
                <w:sz w:val="13"/>
              </w:rPr>
              <w:t>for</w:t>
            </w:r>
            <w:r>
              <w:rPr>
                <w:color w:val="586670"/>
                <w:spacing w:val="-6"/>
                <w:sz w:val="13"/>
              </w:rPr>
              <w:t> </w:t>
            </w:r>
            <w:r>
              <w:rPr>
                <w:color w:val="586670"/>
                <w:sz w:val="13"/>
              </w:rPr>
              <w:t>one</w:t>
            </w:r>
            <w:r>
              <w:rPr>
                <w:color w:val="586670"/>
                <w:spacing w:val="-7"/>
                <w:sz w:val="13"/>
              </w:rPr>
              <w:t> </w:t>
            </w:r>
            <w:r>
              <w:rPr>
                <w:color w:val="586670"/>
                <w:sz w:val="13"/>
              </w:rPr>
              <w:t>Nestlé</w:t>
            </w:r>
            <w:r>
              <w:rPr>
                <w:color w:val="586670"/>
                <w:spacing w:val="-6"/>
                <w:sz w:val="13"/>
              </w:rPr>
              <w:t> </w:t>
            </w:r>
            <w:r>
              <w:rPr>
                <w:color w:val="586670"/>
                <w:spacing w:val="2"/>
                <w:sz w:val="13"/>
              </w:rPr>
              <w:t>S.A.</w:t>
            </w:r>
            <w:r>
              <w:rPr>
                <w:color w:val="586670"/>
                <w:spacing w:val="-7"/>
                <w:sz w:val="13"/>
              </w:rPr>
              <w:t> </w:t>
            </w:r>
            <w:r>
              <w:rPr>
                <w:color w:val="586670"/>
                <w:sz w:val="13"/>
              </w:rPr>
              <w:t>share.</w:t>
            </w:r>
          </w:p>
        </w:tc>
        <w:tc>
          <w:tcPr>
            <w:tcW w:w="3575" w:type="dxa"/>
            <w:tcBorders>
              <w:top w:val="single" w:sz="4" w:space="0" w:color="231F20"/>
            </w:tcBorders>
          </w:tcPr>
          <w:p>
            <w:pPr>
              <w:pStyle w:val="TableParagraph"/>
              <w:spacing w:line="240" w:lineRule="auto" w:before="0"/>
              <w:rPr>
                <w:rFonts w:ascii="Times New Roman"/>
                <w:sz w:val="16"/>
              </w:rPr>
            </w:pPr>
          </w:p>
        </w:tc>
        <w:tc>
          <w:tcPr>
            <w:tcW w:w="1381" w:type="dxa"/>
            <w:tcBorders>
              <w:top w:val="single" w:sz="4" w:space="0" w:color="231F20"/>
            </w:tcBorders>
          </w:tcPr>
          <w:p>
            <w:pPr>
              <w:pStyle w:val="TableParagraph"/>
              <w:spacing w:line="240" w:lineRule="auto" w:before="0"/>
              <w:rPr>
                <w:rFonts w:ascii="Times New Roman"/>
                <w:sz w:val="16"/>
              </w:rPr>
            </w:pPr>
          </w:p>
        </w:tc>
      </w:tr>
    </w:tbl>
    <w:p>
      <w:pPr>
        <w:pStyle w:val="BodyText"/>
        <w:rPr>
          <w:b/>
          <w:sz w:val="22"/>
        </w:rPr>
      </w:pPr>
    </w:p>
    <w:p>
      <w:pPr>
        <w:pStyle w:val="BodyText"/>
        <w:spacing w:before="10"/>
        <w:rPr>
          <w:b/>
          <w:sz w:val="29"/>
        </w:rPr>
      </w:pPr>
    </w:p>
    <w:p>
      <w:pPr>
        <w:spacing w:before="0"/>
        <w:ind w:left="106" w:right="0" w:firstLine="0"/>
        <w:jc w:val="left"/>
        <w:rPr>
          <w:b/>
          <w:sz w:val="18"/>
        </w:rPr>
      </w:pPr>
      <w:r>
        <w:rPr>
          <w:b/>
          <w:color w:val="586670"/>
          <w:w w:val="115"/>
          <w:sz w:val="18"/>
        </w:rPr>
        <w:t>Loans</w:t>
      </w:r>
    </w:p>
    <w:p>
      <w:pPr>
        <w:pStyle w:val="BodyText"/>
        <w:spacing w:before="31"/>
        <w:ind w:left="106"/>
      </w:pPr>
      <w:r>
        <w:rPr>
          <w:color w:val="231F20"/>
        </w:rPr>
        <w:t>There are no loans to members of the Board of Directors.</w:t>
      </w:r>
    </w:p>
    <w:p>
      <w:pPr>
        <w:pStyle w:val="BodyText"/>
        <w:spacing w:before="4"/>
        <w:rPr>
          <w:sz w:val="23"/>
        </w:rPr>
      </w:pPr>
    </w:p>
    <w:p>
      <w:pPr>
        <w:pStyle w:val="Heading3"/>
        <w:ind w:left="106"/>
      </w:pPr>
      <w:r>
        <w:rPr>
          <w:color w:val="586670"/>
          <w:w w:val="110"/>
        </w:rPr>
        <w:t>Additional</w:t>
      </w:r>
      <w:r>
        <w:rPr>
          <w:color w:val="586670"/>
          <w:spacing w:val="-11"/>
          <w:w w:val="110"/>
        </w:rPr>
        <w:t> </w:t>
      </w:r>
      <w:r>
        <w:rPr>
          <w:color w:val="586670"/>
          <w:w w:val="110"/>
        </w:rPr>
        <w:t>fees</w:t>
      </w:r>
      <w:r>
        <w:rPr>
          <w:color w:val="586670"/>
          <w:spacing w:val="-10"/>
          <w:w w:val="110"/>
        </w:rPr>
        <w:t> </w:t>
      </w:r>
      <w:r>
        <w:rPr>
          <w:color w:val="586670"/>
          <w:w w:val="110"/>
        </w:rPr>
        <w:t>and</w:t>
      </w:r>
      <w:r>
        <w:rPr>
          <w:color w:val="586670"/>
          <w:spacing w:val="-10"/>
          <w:w w:val="110"/>
        </w:rPr>
        <w:t> </w:t>
      </w:r>
      <w:r>
        <w:rPr>
          <w:color w:val="586670"/>
          <w:w w:val="110"/>
        </w:rPr>
        <w:t>remuneration</w:t>
      </w:r>
      <w:r>
        <w:rPr>
          <w:color w:val="586670"/>
          <w:spacing w:val="-11"/>
          <w:w w:val="110"/>
        </w:rPr>
        <w:t> </w:t>
      </w:r>
      <w:r>
        <w:rPr>
          <w:color w:val="586670"/>
          <w:w w:val="110"/>
        </w:rPr>
        <w:t>of</w:t>
      </w:r>
      <w:r>
        <w:rPr>
          <w:color w:val="586670"/>
          <w:spacing w:val="-10"/>
          <w:w w:val="110"/>
        </w:rPr>
        <w:t> </w:t>
      </w:r>
      <w:r>
        <w:rPr>
          <w:color w:val="586670"/>
          <w:w w:val="110"/>
        </w:rPr>
        <w:t>the</w:t>
      </w:r>
      <w:r>
        <w:rPr>
          <w:color w:val="586670"/>
          <w:spacing w:val="-10"/>
          <w:w w:val="110"/>
        </w:rPr>
        <w:t> </w:t>
      </w:r>
      <w:r>
        <w:rPr>
          <w:color w:val="586670"/>
          <w:w w:val="110"/>
        </w:rPr>
        <w:t>Board</w:t>
      </w:r>
      <w:r>
        <w:rPr>
          <w:color w:val="586670"/>
          <w:spacing w:val="-11"/>
          <w:w w:val="110"/>
        </w:rPr>
        <w:t> </w:t>
      </w:r>
      <w:r>
        <w:rPr>
          <w:color w:val="586670"/>
          <w:w w:val="110"/>
        </w:rPr>
        <w:t>of</w:t>
      </w:r>
      <w:r>
        <w:rPr>
          <w:color w:val="586670"/>
          <w:spacing w:val="-10"/>
          <w:w w:val="110"/>
        </w:rPr>
        <w:t> </w:t>
      </w:r>
      <w:r>
        <w:rPr>
          <w:color w:val="586670"/>
          <w:w w:val="110"/>
        </w:rPr>
        <w:t>Directors</w:t>
      </w:r>
    </w:p>
    <w:p>
      <w:pPr>
        <w:pStyle w:val="BodyText"/>
        <w:spacing w:line="276" w:lineRule="auto" w:before="31"/>
        <w:ind w:left="106" w:right="2109"/>
      </w:pPr>
      <w:r>
        <w:rPr>
          <w:color w:val="231F20"/>
          <w:w w:val="105"/>
        </w:rPr>
        <w:t>There</w:t>
      </w:r>
      <w:r>
        <w:rPr>
          <w:color w:val="231F20"/>
          <w:spacing w:val="-16"/>
          <w:w w:val="105"/>
        </w:rPr>
        <w:t> </w:t>
      </w:r>
      <w:r>
        <w:rPr>
          <w:color w:val="231F20"/>
          <w:w w:val="105"/>
        </w:rPr>
        <w:t>are</w:t>
      </w:r>
      <w:r>
        <w:rPr>
          <w:color w:val="231F20"/>
          <w:spacing w:val="-15"/>
          <w:w w:val="105"/>
        </w:rPr>
        <w:t> </w:t>
      </w:r>
      <w:r>
        <w:rPr>
          <w:color w:val="231F20"/>
          <w:w w:val="105"/>
        </w:rPr>
        <w:t>no</w:t>
      </w:r>
      <w:r>
        <w:rPr>
          <w:color w:val="231F20"/>
          <w:spacing w:val="-16"/>
          <w:w w:val="105"/>
        </w:rPr>
        <w:t> </w:t>
      </w:r>
      <w:r>
        <w:rPr>
          <w:color w:val="231F20"/>
          <w:w w:val="105"/>
        </w:rPr>
        <w:t>additional</w:t>
      </w:r>
      <w:r>
        <w:rPr>
          <w:color w:val="231F20"/>
          <w:spacing w:val="-15"/>
          <w:w w:val="105"/>
        </w:rPr>
        <w:t> </w:t>
      </w:r>
      <w:r>
        <w:rPr>
          <w:color w:val="231F20"/>
          <w:w w:val="105"/>
        </w:rPr>
        <w:t>fees</w:t>
      </w:r>
      <w:r>
        <w:rPr>
          <w:color w:val="231F20"/>
          <w:spacing w:val="-16"/>
          <w:w w:val="105"/>
        </w:rPr>
        <w:t> </w:t>
      </w:r>
      <w:r>
        <w:rPr>
          <w:color w:val="231F20"/>
          <w:w w:val="105"/>
        </w:rPr>
        <w:t>or</w:t>
      </w:r>
      <w:r>
        <w:rPr>
          <w:color w:val="231F20"/>
          <w:spacing w:val="-15"/>
          <w:w w:val="105"/>
        </w:rPr>
        <w:t> </w:t>
      </w:r>
      <w:r>
        <w:rPr>
          <w:color w:val="231F20"/>
          <w:w w:val="105"/>
        </w:rPr>
        <w:t>remuneration</w:t>
      </w:r>
      <w:r>
        <w:rPr>
          <w:color w:val="231F20"/>
          <w:spacing w:val="-15"/>
          <w:w w:val="105"/>
        </w:rPr>
        <w:t> </w:t>
      </w:r>
      <w:r>
        <w:rPr>
          <w:color w:val="231F20"/>
          <w:w w:val="105"/>
        </w:rPr>
        <w:t>paid</w:t>
      </w:r>
      <w:r>
        <w:rPr>
          <w:color w:val="231F20"/>
          <w:spacing w:val="-16"/>
          <w:w w:val="105"/>
        </w:rPr>
        <w:t> </w:t>
      </w:r>
      <w:r>
        <w:rPr>
          <w:color w:val="231F20"/>
          <w:w w:val="105"/>
        </w:rPr>
        <w:t>by</w:t>
      </w:r>
      <w:r>
        <w:rPr>
          <w:color w:val="231F20"/>
          <w:spacing w:val="-15"/>
          <w:w w:val="105"/>
        </w:rPr>
        <w:t> </w:t>
      </w:r>
      <w:r>
        <w:rPr>
          <w:color w:val="231F20"/>
          <w:w w:val="105"/>
        </w:rPr>
        <w:t>Nestlé</w:t>
      </w:r>
      <w:r>
        <w:rPr>
          <w:color w:val="231F20"/>
          <w:spacing w:val="-16"/>
          <w:w w:val="105"/>
        </w:rPr>
        <w:t> </w:t>
      </w:r>
      <w:r>
        <w:rPr>
          <w:color w:val="231F20"/>
          <w:w w:val="105"/>
        </w:rPr>
        <w:t>S.A.</w:t>
      </w:r>
      <w:r>
        <w:rPr>
          <w:color w:val="231F20"/>
          <w:spacing w:val="-15"/>
          <w:w w:val="105"/>
        </w:rPr>
        <w:t> </w:t>
      </w:r>
      <w:r>
        <w:rPr>
          <w:color w:val="231F20"/>
          <w:w w:val="105"/>
        </w:rPr>
        <w:t>or</w:t>
      </w:r>
      <w:r>
        <w:rPr>
          <w:color w:val="231F20"/>
          <w:spacing w:val="-15"/>
          <w:w w:val="105"/>
        </w:rPr>
        <w:t> </w:t>
      </w:r>
      <w:r>
        <w:rPr>
          <w:color w:val="231F20"/>
          <w:w w:val="105"/>
        </w:rPr>
        <w:t>any</w:t>
      </w:r>
      <w:r>
        <w:rPr>
          <w:color w:val="231F20"/>
          <w:spacing w:val="-16"/>
          <w:w w:val="105"/>
        </w:rPr>
        <w:t> </w:t>
      </w:r>
      <w:r>
        <w:rPr>
          <w:color w:val="231F20"/>
          <w:w w:val="105"/>
        </w:rPr>
        <w:t>of</w:t>
      </w:r>
      <w:r>
        <w:rPr>
          <w:color w:val="231F20"/>
          <w:spacing w:val="-15"/>
          <w:w w:val="105"/>
        </w:rPr>
        <w:t> </w:t>
      </w:r>
      <w:r>
        <w:rPr>
          <w:color w:val="231F20"/>
          <w:w w:val="105"/>
        </w:rPr>
        <w:t>its</w:t>
      </w:r>
      <w:r>
        <w:rPr>
          <w:color w:val="231F20"/>
          <w:spacing w:val="-16"/>
          <w:w w:val="105"/>
        </w:rPr>
        <w:t> </w:t>
      </w:r>
      <w:r>
        <w:rPr>
          <w:color w:val="231F20"/>
          <w:w w:val="105"/>
        </w:rPr>
        <w:t>Group</w:t>
      </w:r>
      <w:r>
        <w:rPr>
          <w:color w:val="231F20"/>
          <w:spacing w:val="-15"/>
          <w:w w:val="105"/>
        </w:rPr>
        <w:t> </w:t>
      </w:r>
      <w:r>
        <w:rPr>
          <w:color w:val="231F20"/>
          <w:w w:val="105"/>
        </w:rPr>
        <w:t>companies,</w:t>
      </w:r>
      <w:r>
        <w:rPr>
          <w:color w:val="231F20"/>
          <w:spacing w:val="-15"/>
          <w:w w:val="105"/>
        </w:rPr>
        <w:t> </w:t>
      </w:r>
      <w:r>
        <w:rPr>
          <w:color w:val="231F20"/>
          <w:w w:val="105"/>
        </w:rPr>
        <w:t>directly or</w:t>
      </w:r>
      <w:r>
        <w:rPr>
          <w:color w:val="231F20"/>
          <w:spacing w:val="-15"/>
          <w:w w:val="105"/>
        </w:rPr>
        <w:t> </w:t>
      </w:r>
      <w:r>
        <w:rPr>
          <w:color w:val="231F20"/>
          <w:w w:val="105"/>
        </w:rPr>
        <w:t>indirectly,</w:t>
      </w:r>
      <w:r>
        <w:rPr>
          <w:color w:val="231F20"/>
          <w:spacing w:val="-15"/>
          <w:w w:val="105"/>
        </w:rPr>
        <w:t> </w:t>
      </w:r>
      <w:r>
        <w:rPr>
          <w:color w:val="231F20"/>
          <w:w w:val="105"/>
        </w:rPr>
        <w:t>to</w:t>
      </w:r>
      <w:r>
        <w:rPr>
          <w:color w:val="231F20"/>
          <w:spacing w:val="-15"/>
          <w:w w:val="105"/>
        </w:rPr>
        <w:t> </w:t>
      </w:r>
      <w:r>
        <w:rPr>
          <w:color w:val="231F20"/>
          <w:w w:val="105"/>
        </w:rPr>
        <w:t>members</w:t>
      </w:r>
      <w:r>
        <w:rPr>
          <w:color w:val="231F20"/>
          <w:spacing w:val="-15"/>
          <w:w w:val="105"/>
        </w:rPr>
        <w:t> </w:t>
      </w:r>
      <w:r>
        <w:rPr>
          <w:color w:val="231F20"/>
          <w:w w:val="105"/>
        </w:rPr>
        <w:t>of</w:t>
      </w:r>
      <w:r>
        <w:rPr>
          <w:color w:val="231F20"/>
          <w:spacing w:val="-15"/>
          <w:w w:val="105"/>
        </w:rPr>
        <w:t> </w:t>
      </w:r>
      <w:r>
        <w:rPr>
          <w:color w:val="231F20"/>
          <w:w w:val="105"/>
        </w:rPr>
        <w:t>the</w:t>
      </w:r>
      <w:r>
        <w:rPr>
          <w:color w:val="231F20"/>
          <w:spacing w:val="-15"/>
          <w:w w:val="105"/>
        </w:rPr>
        <w:t> </w:t>
      </w:r>
      <w:r>
        <w:rPr>
          <w:color w:val="231F20"/>
          <w:w w:val="105"/>
        </w:rPr>
        <w:t>governing</w:t>
      </w:r>
      <w:r>
        <w:rPr>
          <w:color w:val="231F20"/>
          <w:spacing w:val="-15"/>
          <w:w w:val="105"/>
        </w:rPr>
        <w:t> </w:t>
      </w:r>
      <w:r>
        <w:rPr>
          <w:color w:val="231F20"/>
          <w:w w:val="105"/>
        </w:rPr>
        <w:t>body</w:t>
      </w:r>
      <w:r>
        <w:rPr>
          <w:color w:val="231F20"/>
          <w:spacing w:val="-15"/>
          <w:w w:val="105"/>
        </w:rPr>
        <w:t> </w:t>
      </w:r>
      <w:r>
        <w:rPr>
          <w:color w:val="231F20"/>
          <w:w w:val="105"/>
        </w:rPr>
        <w:t>or</w:t>
      </w:r>
      <w:r>
        <w:rPr>
          <w:color w:val="231F20"/>
          <w:spacing w:val="-15"/>
          <w:w w:val="105"/>
        </w:rPr>
        <w:t> </w:t>
      </w:r>
      <w:r>
        <w:rPr>
          <w:color w:val="231F20"/>
          <w:w w:val="105"/>
        </w:rPr>
        <w:t>closely</w:t>
      </w:r>
      <w:r>
        <w:rPr>
          <w:color w:val="231F20"/>
          <w:spacing w:val="-15"/>
          <w:w w:val="105"/>
        </w:rPr>
        <w:t> </w:t>
      </w:r>
      <w:r>
        <w:rPr>
          <w:color w:val="231F20"/>
          <w:w w:val="105"/>
        </w:rPr>
        <w:t>related</w:t>
      </w:r>
      <w:r>
        <w:rPr>
          <w:color w:val="231F20"/>
          <w:spacing w:val="-15"/>
          <w:w w:val="105"/>
        </w:rPr>
        <w:t> </w:t>
      </w:r>
      <w:r>
        <w:rPr>
          <w:color w:val="231F20"/>
          <w:w w:val="105"/>
        </w:rPr>
        <w:t>parties,</w:t>
      </w:r>
      <w:r>
        <w:rPr>
          <w:color w:val="231F20"/>
          <w:spacing w:val="-15"/>
          <w:w w:val="105"/>
        </w:rPr>
        <w:t> </w:t>
      </w:r>
      <w:r>
        <w:rPr>
          <w:color w:val="231F20"/>
          <w:w w:val="105"/>
        </w:rPr>
        <w:t>except</w:t>
      </w:r>
      <w:r>
        <w:rPr>
          <w:color w:val="231F20"/>
          <w:spacing w:val="-15"/>
          <w:w w:val="105"/>
        </w:rPr>
        <w:t> </w:t>
      </w:r>
      <w:r>
        <w:rPr>
          <w:color w:val="231F20"/>
          <w:w w:val="105"/>
        </w:rPr>
        <w:t>for</w:t>
      </w:r>
      <w:r>
        <w:rPr>
          <w:color w:val="231F20"/>
          <w:spacing w:val="-15"/>
          <w:w w:val="105"/>
        </w:rPr>
        <w:t> </w:t>
      </w:r>
      <w:r>
        <w:rPr>
          <w:color w:val="231F20"/>
          <w:w w:val="105"/>
        </w:rPr>
        <w:t>CHF</w:t>
      </w:r>
      <w:r>
        <w:rPr>
          <w:color w:val="231F20"/>
          <w:spacing w:val="-15"/>
          <w:w w:val="105"/>
        </w:rPr>
        <w:t> </w:t>
      </w:r>
      <w:r>
        <w:rPr>
          <w:color w:val="231F20"/>
          <w:w w:val="105"/>
        </w:rPr>
        <w:t>35</w:t>
      </w:r>
      <w:r>
        <w:rPr>
          <w:color w:val="231F20"/>
          <w:spacing w:val="-15"/>
          <w:w w:val="105"/>
        </w:rPr>
        <w:t> </w:t>
      </w:r>
      <w:r>
        <w:rPr>
          <w:color w:val="231F20"/>
          <w:spacing w:val="2"/>
          <w:w w:val="105"/>
        </w:rPr>
        <w:t>000</w:t>
      </w:r>
      <w:r>
        <w:rPr>
          <w:color w:val="231F20"/>
          <w:spacing w:val="-15"/>
          <w:w w:val="105"/>
        </w:rPr>
        <w:t> </w:t>
      </w:r>
      <w:r>
        <w:rPr>
          <w:color w:val="231F20"/>
          <w:w w:val="105"/>
        </w:rPr>
        <w:t>paid</w:t>
      </w:r>
      <w:r>
        <w:rPr>
          <w:color w:val="231F20"/>
          <w:spacing w:val="-15"/>
          <w:w w:val="105"/>
        </w:rPr>
        <w:t> </w:t>
      </w:r>
      <w:r>
        <w:rPr>
          <w:color w:val="231F20"/>
          <w:w w:val="105"/>
        </w:rPr>
        <w:t>to Ms </w:t>
      </w:r>
      <w:r>
        <w:rPr>
          <w:color w:val="231F20"/>
          <w:spacing w:val="-8"/>
          <w:w w:val="105"/>
        </w:rPr>
        <w:t>T. </w:t>
      </w:r>
      <w:r>
        <w:rPr>
          <w:color w:val="231F20"/>
          <w:w w:val="105"/>
        </w:rPr>
        <w:t>de Lange who serves as a member of the Nestlé Nutrition Council (NNC) and CHF 25 321 paid to Ms</w:t>
      </w:r>
      <w:r>
        <w:rPr>
          <w:color w:val="231F20"/>
          <w:spacing w:val="-4"/>
          <w:w w:val="105"/>
        </w:rPr>
        <w:t> </w:t>
      </w:r>
      <w:r>
        <w:rPr>
          <w:color w:val="231F20"/>
          <w:w w:val="105"/>
        </w:rPr>
        <w:t>A.</w:t>
      </w:r>
      <w:r>
        <w:rPr>
          <w:color w:val="231F20"/>
          <w:spacing w:val="-4"/>
          <w:w w:val="105"/>
        </w:rPr>
        <w:t> </w:t>
      </w:r>
      <w:r>
        <w:rPr>
          <w:color w:val="231F20"/>
          <w:w w:val="105"/>
        </w:rPr>
        <w:t>M.</w:t>
      </w:r>
      <w:r>
        <w:rPr>
          <w:color w:val="231F20"/>
          <w:spacing w:val="-4"/>
          <w:w w:val="105"/>
        </w:rPr>
        <w:t> </w:t>
      </w:r>
      <w:r>
        <w:rPr>
          <w:color w:val="231F20"/>
          <w:w w:val="105"/>
        </w:rPr>
        <w:t>Veneman</w:t>
      </w:r>
      <w:r>
        <w:rPr>
          <w:color w:val="231F20"/>
          <w:spacing w:val="-4"/>
          <w:w w:val="105"/>
        </w:rPr>
        <w:t> </w:t>
      </w:r>
      <w:r>
        <w:rPr>
          <w:color w:val="231F20"/>
          <w:w w:val="105"/>
        </w:rPr>
        <w:t>who</w:t>
      </w:r>
      <w:r>
        <w:rPr>
          <w:color w:val="231F20"/>
          <w:spacing w:val="-4"/>
          <w:w w:val="105"/>
        </w:rPr>
        <w:t> </w:t>
      </w:r>
      <w:r>
        <w:rPr>
          <w:color w:val="231F20"/>
          <w:w w:val="105"/>
        </w:rPr>
        <w:t>serves</w:t>
      </w:r>
      <w:r>
        <w:rPr>
          <w:color w:val="231F20"/>
          <w:spacing w:val="-4"/>
          <w:w w:val="105"/>
        </w:rPr>
        <w:t> </w:t>
      </w:r>
      <w:r>
        <w:rPr>
          <w:color w:val="231F20"/>
          <w:w w:val="105"/>
        </w:rPr>
        <w:t>as</w:t>
      </w:r>
      <w:r>
        <w:rPr>
          <w:color w:val="231F20"/>
          <w:spacing w:val="-4"/>
          <w:w w:val="105"/>
        </w:rPr>
        <w:t> </w:t>
      </w:r>
      <w:r>
        <w:rPr>
          <w:color w:val="231F20"/>
          <w:w w:val="105"/>
        </w:rPr>
        <w:t>a</w:t>
      </w:r>
      <w:r>
        <w:rPr>
          <w:color w:val="231F20"/>
          <w:spacing w:val="-4"/>
          <w:w w:val="105"/>
        </w:rPr>
        <w:t> </w:t>
      </w:r>
      <w:r>
        <w:rPr>
          <w:color w:val="231F20"/>
          <w:w w:val="105"/>
        </w:rPr>
        <w:t>member</w:t>
      </w:r>
      <w:r>
        <w:rPr>
          <w:color w:val="231F20"/>
          <w:spacing w:val="-4"/>
          <w:w w:val="105"/>
        </w:rPr>
        <w:t> </w:t>
      </w:r>
      <w:r>
        <w:rPr>
          <w:color w:val="231F20"/>
          <w:w w:val="105"/>
        </w:rPr>
        <w:t>of</w:t>
      </w:r>
      <w:r>
        <w:rPr>
          <w:color w:val="231F20"/>
          <w:spacing w:val="-4"/>
          <w:w w:val="105"/>
        </w:rPr>
        <w:t> </w:t>
      </w:r>
      <w:r>
        <w:rPr>
          <w:color w:val="231F20"/>
          <w:w w:val="105"/>
        </w:rPr>
        <w:t>the</w:t>
      </w:r>
      <w:r>
        <w:rPr>
          <w:color w:val="231F20"/>
          <w:spacing w:val="-4"/>
          <w:w w:val="105"/>
        </w:rPr>
        <w:t> </w:t>
      </w:r>
      <w:r>
        <w:rPr>
          <w:color w:val="231F20"/>
          <w:w w:val="105"/>
        </w:rPr>
        <w:t>CSV</w:t>
      </w:r>
      <w:r>
        <w:rPr>
          <w:color w:val="231F20"/>
          <w:spacing w:val="-4"/>
          <w:w w:val="105"/>
        </w:rPr>
        <w:t> </w:t>
      </w:r>
      <w:r>
        <w:rPr>
          <w:color w:val="231F20"/>
          <w:w w:val="105"/>
        </w:rPr>
        <w:t>Council.</w:t>
      </w:r>
    </w:p>
    <w:p>
      <w:pPr>
        <w:spacing w:after="0" w:line="276" w:lineRule="auto"/>
        <w:sectPr>
          <w:pgSz w:w="11910" w:h="14750"/>
          <w:pgMar w:header="642" w:footer="509" w:top="840" w:bottom="700" w:left="460" w:right="460"/>
        </w:sectPr>
      </w:pPr>
    </w:p>
    <w:p>
      <w:pPr>
        <w:pStyle w:val="BodyText"/>
        <w:rPr>
          <w:sz w:val="20"/>
        </w:rPr>
      </w:pPr>
    </w:p>
    <w:p>
      <w:pPr>
        <w:pStyle w:val="BodyText"/>
        <w:rPr>
          <w:sz w:val="20"/>
        </w:rPr>
      </w:pPr>
    </w:p>
    <w:p>
      <w:pPr>
        <w:pStyle w:val="BodyText"/>
        <w:spacing w:before="9"/>
        <w:rPr>
          <w:sz w:val="15"/>
        </w:rPr>
      </w:pPr>
    </w:p>
    <w:p>
      <w:pPr>
        <w:spacing w:after="0"/>
        <w:rPr>
          <w:sz w:val="15"/>
        </w:rPr>
        <w:sectPr>
          <w:pgSz w:w="11910" w:h="14750"/>
          <w:pgMar w:header="642" w:footer="509" w:top="840" w:bottom="700" w:left="460" w:right="460"/>
        </w:sectPr>
      </w:pPr>
    </w:p>
    <w:p>
      <w:pPr>
        <w:pStyle w:val="Heading3"/>
        <w:spacing w:line="276" w:lineRule="auto" w:before="108"/>
        <w:ind w:right="1278"/>
      </w:pPr>
      <w:bookmarkStart w:name="Principles of compensation for members o" w:id="24"/>
      <w:bookmarkEnd w:id="24"/>
      <w:r>
        <w:rPr>
          <w:b w:val="0"/>
        </w:rPr>
      </w:r>
      <w:bookmarkStart w:name="Elements of Executive Board compensation" w:id="25"/>
      <w:bookmarkEnd w:id="25"/>
      <w:r>
        <w:rPr>
          <w:b w:val="0"/>
        </w:rPr>
      </w:r>
      <w:r>
        <w:rPr>
          <w:color w:val="231F20"/>
          <w:w w:val="110"/>
        </w:rPr>
        <w:t>Principles of compensation for members of the Executive Board</w:t>
      </w:r>
    </w:p>
    <w:p>
      <w:pPr>
        <w:spacing w:line="208" w:lineRule="exact" w:before="0"/>
        <w:ind w:left="560" w:right="0" w:firstLine="0"/>
        <w:jc w:val="left"/>
        <w:rPr>
          <w:b/>
          <w:sz w:val="18"/>
        </w:rPr>
      </w:pPr>
      <w:r>
        <w:rPr>
          <w:b/>
          <w:color w:val="586670"/>
          <w:w w:val="105"/>
          <w:sz w:val="18"/>
        </w:rPr>
        <w:t>Principles</w:t>
      </w:r>
    </w:p>
    <w:p>
      <w:pPr>
        <w:pStyle w:val="BodyText"/>
        <w:spacing w:line="276" w:lineRule="auto" w:before="31"/>
        <w:ind w:left="560" w:right="207"/>
      </w:pPr>
      <w:r>
        <w:rPr>
          <w:color w:val="231F20"/>
        </w:rPr>
        <w:t>The principles of compensation for members of the Executive Board are the following:</w:t>
      </w:r>
    </w:p>
    <w:p>
      <w:pPr>
        <w:pStyle w:val="BodyText"/>
        <w:spacing w:before="7"/>
        <w:rPr>
          <w:sz w:val="20"/>
        </w:rPr>
      </w:pPr>
    </w:p>
    <w:p>
      <w:pPr>
        <w:pStyle w:val="BodyText"/>
        <w:ind w:left="560"/>
      </w:pPr>
      <w:r>
        <w:rPr>
          <w:color w:val="586670"/>
        </w:rPr>
        <w:t>Pay for performance</w:t>
      </w:r>
    </w:p>
    <w:p>
      <w:pPr>
        <w:pStyle w:val="BodyText"/>
        <w:spacing w:line="276" w:lineRule="auto" w:before="31"/>
        <w:ind w:left="560" w:right="207"/>
      </w:pPr>
      <w:r>
        <w:rPr>
          <w:color w:val="231F20"/>
        </w:rPr>
        <w:t>The Total Direct Compensation for the members of the Executive Board includes a fixed portion (Annual Base Salary) and a variable portion (Short-Term Bonus and Long- </w:t>
      </w:r>
      <w:r>
        <w:rPr>
          <w:color w:val="231F20"/>
          <w:spacing w:val="-3"/>
        </w:rPr>
        <w:t>Term </w:t>
      </w:r>
      <w:r>
        <w:rPr>
          <w:color w:val="231F20"/>
        </w:rPr>
        <w:t>Incentives). The fixed as well as the variable compensation is determined in line with collective and individual performance. Nestlé targets its</w:t>
      </w:r>
      <w:r>
        <w:rPr>
          <w:color w:val="231F20"/>
          <w:spacing w:val="21"/>
        </w:rPr>
        <w:t> </w:t>
      </w:r>
      <w:r>
        <w:rPr>
          <w:color w:val="231F20"/>
        </w:rPr>
        <w:t>remuneration</w:t>
      </w:r>
    </w:p>
    <w:p>
      <w:pPr>
        <w:pStyle w:val="BodyText"/>
        <w:spacing w:line="276" w:lineRule="auto"/>
        <w:ind w:left="560"/>
      </w:pPr>
      <w:r>
        <w:rPr>
          <w:color w:val="231F20"/>
        </w:rPr>
        <w:t>to be between the median and the 75th percentile of the benchmark (please refer to page 43). Whenever appropriate, the benchmark values are adjusted for the size of Nestlé.</w:t>
      </w:r>
    </w:p>
    <w:p>
      <w:pPr>
        <w:pStyle w:val="BodyText"/>
        <w:spacing w:before="5"/>
        <w:rPr>
          <w:sz w:val="20"/>
        </w:rPr>
      </w:pPr>
    </w:p>
    <w:p>
      <w:pPr>
        <w:pStyle w:val="BodyText"/>
        <w:spacing w:line="276" w:lineRule="auto"/>
        <w:ind w:left="560" w:right="207"/>
      </w:pPr>
      <w:r>
        <w:rPr>
          <w:color w:val="586670"/>
        </w:rPr>
        <w:t>Alignment with long-term company strategy and shareholder interests</w:t>
      </w:r>
    </w:p>
    <w:p>
      <w:pPr>
        <w:pStyle w:val="BodyText"/>
        <w:spacing w:line="276" w:lineRule="auto"/>
        <w:ind w:left="560" w:right="67"/>
      </w:pPr>
      <w:r>
        <w:rPr>
          <w:color w:val="231F20"/>
        </w:rPr>
        <w:t>Compensation for members of the Executive Board is  aligned with company strategy and shareholders’ interests. The Short-Term Bonus payout is determined by the degree  of achievement of a number of annual operating objectives. Long-Term Incentives are provided in the form of share- based instruments, therefore ensuring alignment with shareholders’ interests. In </w:t>
      </w:r>
      <w:r>
        <w:rPr>
          <w:color w:val="231F20"/>
          <w:spacing w:val="-4"/>
        </w:rPr>
        <w:t>2013, </w:t>
      </w:r>
      <w:r>
        <w:rPr>
          <w:color w:val="231F20"/>
        </w:rPr>
        <w:t>Long-Term Incentive instruments included Performance Share Units (PSUs) and Restricted Stock Units </w:t>
      </w:r>
      <w:r>
        <w:rPr>
          <w:color w:val="231F20"/>
          <w:spacing w:val="-3"/>
        </w:rPr>
        <w:t>(RSUs). </w:t>
      </w:r>
      <w:r>
        <w:rPr>
          <w:color w:val="231F20"/>
        </w:rPr>
        <w:t>These Long-Term Incentive instruments</w:t>
      </w:r>
      <w:r>
        <w:rPr>
          <w:color w:val="231F20"/>
          <w:spacing w:val="-7"/>
        </w:rPr>
        <w:t> </w:t>
      </w:r>
      <w:r>
        <w:rPr>
          <w:color w:val="231F20"/>
        </w:rPr>
        <w:t>have</w:t>
      </w:r>
      <w:r>
        <w:rPr>
          <w:color w:val="231F20"/>
          <w:spacing w:val="-6"/>
        </w:rPr>
        <w:t> </w:t>
      </w:r>
      <w:r>
        <w:rPr>
          <w:color w:val="231F20"/>
        </w:rPr>
        <w:t>a</w:t>
      </w:r>
      <w:r>
        <w:rPr>
          <w:color w:val="231F20"/>
          <w:spacing w:val="-7"/>
        </w:rPr>
        <w:t> </w:t>
      </w:r>
      <w:r>
        <w:rPr>
          <w:color w:val="231F20"/>
        </w:rPr>
        <w:t>restriction</w:t>
      </w:r>
      <w:r>
        <w:rPr>
          <w:color w:val="231F20"/>
          <w:spacing w:val="-6"/>
        </w:rPr>
        <w:t> </w:t>
      </w:r>
      <w:r>
        <w:rPr>
          <w:color w:val="231F20"/>
          <w:spacing w:val="-3"/>
        </w:rPr>
        <w:t>(vesting)</w:t>
      </w:r>
      <w:r>
        <w:rPr>
          <w:color w:val="231F20"/>
          <w:spacing w:val="-6"/>
        </w:rPr>
        <w:t> </w:t>
      </w:r>
      <w:r>
        <w:rPr>
          <w:color w:val="231F20"/>
        </w:rPr>
        <w:t>period</w:t>
      </w:r>
      <w:r>
        <w:rPr>
          <w:color w:val="231F20"/>
          <w:spacing w:val="-7"/>
        </w:rPr>
        <w:t> </w:t>
      </w:r>
      <w:r>
        <w:rPr>
          <w:color w:val="231F20"/>
        </w:rPr>
        <w:t>of</w:t>
      </w:r>
      <w:r>
        <w:rPr>
          <w:color w:val="231F20"/>
          <w:spacing w:val="-6"/>
        </w:rPr>
        <w:t> </w:t>
      </w:r>
      <w:r>
        <w:rPr>
          <w:color w:val="231F20"/>
        </w:rPr>
        <w:t>three</w:t>
      </w:r>
      <w:r>
        <w:rPr>
          <w:color w:val="231F20"/>
          <w:spacing w:val="-6"/>
        </w:rPr>
        <w:t> </w:t>
      </w:r>
      <w:r>
        <w:rPr>
          <w:color w:val="231F20"/>
        </w:rPr>
        <w:t>years.</w:t>
      </w:r>
    </w:p>
    <w:p>
      <w:pPr>
        <w:pStyle w:val="BodyText"/>
        <w:spacing w:before="3"/>
        <w:rPr>
          <w:sz w:val="20"/>
        </w:rPr>
      </w:pPr>
    </w:p>
    <w:p>
      <w:pPr>
        <w:pStyle w:val="BodyText"/>
        <w:spacing w:line="276" w:lineRule="auto"/>
        <w:ind w:left="560" w:right="355"/>
      </w:pPr>
      <w:r>
        <w:rPr>
          <w:color w:val="586670"/>
          <w:w w:val="105"/>
        </w:rPr>
        <w:t>Compensation</w:t>
      </w:r>
      <w:r>
        <w:rPr>
          <w:color w:val="586670"/>
          <w:spacing w:val="-25"/>
          <w:w w:val="105"/>
        </w:rPr>
        <w:t> </w:t>
      </w:r>
      <w:r>
        <w:rPr>
          <w:color w:val="586670"/>
          <w:w w:val="105"/>
        </w:rPr>
        <w:t>to</w:t>
      </w:r>
      <w:r>
        <w:rPr>
          <w:color w:val="586670"/>
          <w:spacing w:val="-24"/>
          <w:w w:val="105"/>
        </w:rPr>
        <w:t> </w:t>
      </w:r>
      <w:r>
        <w:rPr>
          <w:color w:val="586670"/>
          <w:w w:val="105"/>
        </w:rPr>
        <w:t>be</w:t>
      </w:r>
      <w:r>
        <w:rPr>
          <w:color w:val="586670"/>
          <w:spacing w:val="-24"/>
          <w:w w:val="105"/>
        </w:rPr>
        <w:t> </w:t>
      </w:r>
      <w:r>
        <w:rPr>
          <w:color w:val="586670"/>
          <w:w w:val="105"/>
        </w:rPr>
        <w:t>internationally</w:t>
      </w:r>
      <w:r>
        <w:rPr>
          <w:color w:val="586670"/>
          <w:spacing w:val="-24"/>
          <w:w w:val="105"/>
        </w:rPr>
        <w:t> </w:t>
      </w:r>
      <w:r>
        <w:rPr>
          <w:color w:val="586670"/>
          <w:w w:val="105"/>
        </w:rPr>
        <w:t>competitive</w:t>
      </w:r>
      <w:r>
        <w:rPr>
          <w:color w:val="586670"/>
          <w:spacing w:val="-24"/>
          <w:w w:val="105"/>
        </w:rPr>
        <w:t> </w:t>
      </w:r>
      <w:r>
        <w:rPr>
          <w:color w:val="586670"/>
          <w:w w:val="105"/>
        </w:rPr>
        <w:t>by</w:t>
      </w:r>
      <w:r>
        <w:rPr>
          <w:color w:val="586670"/>
          <w:spacing w:val="-24"/>
          <w:w w:val="105"/>
        </w:rPr>
        <w:t> </w:t>
      </w:r>
      <w:r>
        <w:rPr>
          <w:color w:val="586670"/>
          <w:w w:val="105"/>
        </w:rPr>
        <w:t>using selected</w:t>
      </w:r>
      <w:r>
        <w:rPr>
          <w:color w:val="586670"/>
          <w:spacing w:val="-11"/>
          <w:w w:val="105"/>
        </w:rPr>
        <w:t> </w:t>
      </w:r>
      <w:r>
        <w:rPr>
          <w:color w:val="586670"/>
          <w:w w:val="105"/>
        </w:rPr>
        <w:t>benchmarks</w:t>
      </w:r>
    </w:p>
    <w:p>
      <w:pPr>
        <w:pStyle w:val="BodyText"/>
        <w:spacing w:line="276" w:lineRule="auto"/>
        <w:ind w:left="560" w:right="207"/>
      </w:pPr>
      <w:r>
        <w:rPr>
          <w:color w:val="231F20"/>
        </w:rPr>
        <w:t>The compensation packages for the members of the Executive Board need to be competitive in a dynamic international environment.</w:t>
      </w:r>
    </w:p>
    <w:p>
      <w:pPr>
        <w:pStyle w:val="BodyText"/>
        <w:spacing w:before="6"/>
        <w:rPr>
          <w:sz w:val="20"/>
        </w:rPr>
      </w:pPr>
    </w:p>
    <w:p>
      <w:pPr>
        <w:pStyle w:val="BodyText"/>
        <w:spacing w:line="276" w:lineRule="auto"/>
        <w:ind w:left="560" w:right="300"/>
      </w:pPr>
      <w:r>
        <w:rPr>
          <w:b/>
          <w:color w:val="231F20"/>
          <w:w w:val="105"/>
        </w:rPr>
        <w:t>Elements of Executive Board compensation </w:t>
      </w:r>
      <w:r>
        <w:rPr>
          <w:color w:val="231F20"/>
          <w:w w:val="105"/>
        </w:rPr>
        <w:t>Periodically, the Compensation Committee uses the services of Towers Watson, a reputed international compensation</w:t>
      </w:r>
      <w:r>
        <w:rPr>
          <w:color w:val="231F20"/>
          <w:spacing w:val="-20"/>
          <w:w w:val="105"/>
        </w:rPr>
        <w:t> </w:t>
      </w:r>
      <w:r>
        <w:rPr>
          <w:color w:val="231F20"/>
          <w:w w:val="105"/>
        </w:rPr>
        <w:t>consultancy,</w:t>
      </w:r>
      <w:r>
        <w:rPr>
          <w:color w:val="231F20"/>
          <w:spacing w:val="-19"/>
          <w:w w:val="105"/>
        </w:rPr>
        <w:t> </w:t>
      </w:r>
      <w:r>
        <w:rPr>
          <w:color w:val="231F20"/>
          <w:w w:val="105"/>
        </w:rPr>
        <w:t>to</w:t>
      </w:r>
      <w:r>
        <w:rPr>
          <w:color w:val="231F20"/>
          <w:spacing w:val="-19"/>
          <w:w w:val="105"/>
        </w:rPr>
        <w:t> </w:t>
      </w:r>
      <w:r>
        <w:rPr>
          <w:color w:val="231F20"/>
          <w:w w:val="105"/>
        </w:rPr>
        <w:t>provide</w:t>
      </w:r>
      <w:r>
        <w:rPr>
          <w:color w:val="231F20"/>
          <w:spacing w:val="-19"/>
          <w:w w:val="105"/>
        </w:rPr>
        <w:t> </w:t>
      </w:r>
      <w:r>
        <w:rPr>
          <w:color w:val="231F20"/>
          <w:w w:val="105"/>
        </w:rPr>
        <w:t>a</w:t>
      </w:r>
      <w:r>
        <w:rPr>
          <w:color w:val="231F20"/>
          <w:spacing w:val="-19"/>
          <w:w w:val="105"/>
        </w:rPr>
        <w:t> </w:t>
      </w:r>
      <w:r>
        <w:rPr>
          <w:color w:val="231F20"/>
          <w:w w:val="105"/>
        </w:rPr>
        <w:t>detailed</w:t>
      </w:r>
      <w:r>
        <w:rPr>
          <w:color w:val="231F20"/>
          <w:spacing w:val="-19"/>
          <w:w w:val="105"/>
        </w:rPr>
        <w:t> </w:t>
      </w:r>
      <w:r>
        <w:rPr>
          <w:color w:val="231F20"/>
          <w:w w:val="105"/>
        </w:rPr>
        <w:t>market comparison. The results of a recent study confirmed that</w:t>
      </w:r>
      <w:r>
        <w:rPr>
          <w:color w:val="231F20"/>
          <w:spacing w:val="-21"/>
          <w:w w:val="105"/>
        </w:rPr>
        <w:t> </w:t>
      </w:r>
      <w:r>
        <w:rPr>
          <w:color w:val="231F20"/>
          <w:w w:val="105"/>
        </w:rPr>
        <w:t>Total</w:t>
      </w:r>
      <w:r>
        <w:rPr>
          <w:color w:val="231F20"/>
          <w:spacing w:val="-20"/>
          <w:w w:val="105"/>
        </w:rPr>
        <w:t> </w:t>
      </w:r>
      <w:r>
        <w:rPr>
          <w:color w:val="231F20"/>
          <w:w w:val="105"/>
        </w:rPr>
        <w:t>Direct</w:t>
      </w:r>
      <w:r>
        <w:rPr>
          <w:color w:val="231F20"/>
          <w:spacing w:val="-20"/>
          <w:w w:val="105"/>
        </w:rPr>
        <w:t> </w:t>
      </w:r>
      <w:r>
        <w:rPr>
          <w:color w:val="231F20"/>
          <w:w w:val="105"/>
        </w:rPr>
        <w:t>Compensation</w:t>
      </w:r>
      <w:r>
        <w:rPr>
          <w:color w:val="231F20"/>
          <w:spacing w:val="-20"/>
          <w:w w:val="105"/>
        </w:rPr>
        <w:t> </w:t>
      </w:r>
      <w:r>
        <w:rPr>
          <w:color w:val="231F20"/>
          <w:w w:val="105"/>
        </w:rPr>
        <w:t>is</w:t>
      </w:r>
      <w:r>
        <w:rPr>
          <w:color w:val="231F20"/>
          <w:spacing w:val="-21"/>
          <w:w w:val="105"/>
        </w:rPr>
        <w:t> </w:t>
      </w:r>
      <w:r>
        <w:rPr>
          <w:color w:val="231F20"/>
          <w:w w:val="105"/>
        </w:rPr>
        <w:t>broadly</w:t>
      </w:r>
      <w:r>
        <w:rPr>
          <w:color w:val="231F20"/>
          <w:spacing w:val="-20"/>
          <w:w w:val="105"/>
        </w:rPr>
        <w:t> </w:t>
      </w:r>
      <w:r>
        <w:rPr>
          <w:color w:val="231F20"/>
          <w:w w:val="105"/>
        </w:rPr>
        <w:t>in</w:t>
      </w:r>
      <w:r>
        <w:rPr>
          <w:color w:val="231F20"/>
          <w:spacing w:val="-20"/>
          <w:w w:val="105"/>
        </w:rPr>
        <w:t> </w:t>
      </w:r>
      <w:r>
        <w:rPr>
          <w:color w:val="231F20"/>
          <w:w w:val="105"/>
        </w:rPr>
        <w:t>line</w:t>
      </w:r>
      <w:r>
        <w:rPr>
          <w:color w:val="231F20"/>
          <w:spacing w:val="-20"/>
          <w:w w:val="105"/>
        </w:rPr>
        <w:t> </w:t>
      </w:r>
      <w:r>
        <w:rPr>
          <w:color w:val="231F20"/>
          <w:w w:val="105"/>
        </w:rPr>
        <w:t>with</w:t>
      </w:r>
      <w:r>
        <w:rPr>
          <w:color w:val="231F20"/>
          <w:spacing w:val="-21"/>
          <w:w w:val="105"/>
        </w:rPr>
        <w:t> </w:t>
      </w:r>
      <w:r>
        <w:rPr>
          <w:color w:val="231F20"/>
          <w:w w:val="105"/>
        </w:rPr>
        <w:t>the market</w:t>
      </w:r>
      <w:r>
        <w:rPr>
          <w:color w:val="231F20"/>
          <w:spacing w:val="-13"/>
          <w:w w:val="105"/>
        </w:rPr>
        <w:t> </w:t>
      </w:r>
      <w:r>
        <w:rPr>
          <w:color w:val="231F20"/>
          <w:w w:val="105"/>
        </w:rPr>
        <w:t>median,</w:t>
      </w:r>
      <w:r>
        <w:rPr>
          <w:color w:val="231F20"/>
          <w:spacing w:val="-12"/>
          <w:w w:val="105"/>
        </w:rPr>
        <w:t> </w:t>
      </w:r>
      <w:r>
        <w:rPr>
          <w:color w:val="231F20"/>
          <w:w w:val="105"/>
        </w:rPr>
        <w:t>adjusted</w:t>
      </w:r>
      <w:r>
        <w:rPr>
          <w:color w:val="231F20"/>
          <w:spacing w:val="-12"/>
          <w:w w:val="105"/>
        </w:rPr>
        <w:t> </w:t>
      </w:r>
      <w:r>
        <w:rPr>
          <w:color w:val="231F20"/>
          <w:w w:val="105"/>
        </w:rPr>
        <w:t>for</w:t>
      </w:r>
      <w:r>
        <w:rPr>
          <w:color w:val="231F20"/>
          <w:spacing w:val="-12"/>
          <w:w w:val="105"/>
        </w:rPr>
        <w:t> </w:t>
      </w:r>
      <w:r>
        <w:rPr>
          <w:color w:val="231F20"/>
          <w:w w:val="105"/>
        </w:rPr>
        <w:t>the</w:t>
      </w:r>
      <w:r>
        <w:rPr>
          <w:color w:val="231F20"/>
          <w:spacing w:val="-12"/>
          <w:w w:val="105"/>
        </w:rPr>
        <w:t> </w:t>
      </w:r>
      <w:r>
        <w:rPr>
          <w:color w:val="231F20"/>
          <w:w w:val="105"/>
        </w:rPr>
        <w:t>size</w:t>
      </w:r>
      <w:r>
        <w:rPr>
          <w:color w:val="231F20"/>
          <w:spacing w:val="-12"/>
          <w:w w:val="105"/>
        </w:rPr>
        <w:t> </w:t>
      </w:r>
      <w:r>
        <w:rPr>
          <w:color w:val="231F20"/>
          <w:w w:val="105"/>
        </w:rPr>
        <w:t>of</w:t>
      </w:r>
      <w:r>
        <w:rPr>
          <w:color w:val="231F20"/>
          <w:spacing w:val="-12"/>
          <w:w w:val="105"/>
        </w:rPr>
        <w:t> </w:t>
      </w:r>
      <w:r>
        <w:rPr>
          <w:color w:val="231F20"/>
          <w:w w:val="105"/>
        </w:rPr>
        <w:t>Nestlé.</w:t>
      </w:r>
    </w:p>
    <w:p>
      <w:pPr>
        <w:pStyle w:val="BodyText"/>
        <w:spacing w:line="276" w:lineRule="auto" w:before="108"/>
        <w:ind w:left="191" w:right="128"/>
      </w:pPr>
      <w:r>
        <w:rPr/>
        <w:br w:type="column"/>
      </w:r>
      <w:r>
        <w:rPr>
          <w:color w:val="231F20"/>
          <w:w w:val="105"/>
        </w:rPr>
        <w:t>The total compensation package consists of the following elements:</w:t>
      </w:r>
    </w:p>
    <w:p>
      <w:pPr>
        <w:pStyle w:val="BodyText"/>
        <w:spacing w:before="7"/>
        <w:rPr>
          <w:sz w:val="20"/>
        </w:rPr>
      </w:pPr>
    </w:p>
    <w:p>
      <w:pPr>
        <w:pStyle w:val="ListParagraph"/>
        <w:numPr>
          <w:ilvl w:val="0"/>
          <w:numId w:val="21"/>
        </w:numPr>
        <w:tabs>
          <w:tab w:pos="419" w:val="left" w:leader="none"/>
        </w:tabs>
        <w:spacing w:line="240" w:lineRule="auto" w:before="0" w:after="0"/>
        <w:ind w:left="418" w:right="0" w:hanging="227"/>
        <w:jc w:val="left"/>
        <w:rPr>
          <w:sz w:val="18"/>
        </w:rPr>
      </w:pPr>
      <w:r>
        <w:rPr>
          <w:color w:val="586670"/>
          <w:w w:val="105"/>
          <w:sz w:val="18"/>
        </w:rPr>
        <w:t>Base</w:t>
      </w:r>
      <w:r>
        <w:rPr>
          <w:color w:val="586670"/>
          <w:spacing w:val="-11"/>
          <w:w w:val="105"/>
          <w:sz w:val="18"/>
        </w:rPr>
        <w:t> </w:t>
      </w:r>
      <w:r>
        <w:rPr>
          <w:color w:val="586670"/>
          <w:w w:val="105"/>
          <w:sz w:val="18"/>
        </w:rPr>
        <w:t>Salary</w:t>
      </w:r>
    </w:p>
    <w:p>
      <w:pPr>
        <w:pStyle w:val="BodyText"/>
        <w:spacing w:line="276" w:lineRule="auto" w:before="31"/>
        <w:ind w:left="191" w:right="128"/>
      </w:pPr>
      <w:r>
        <w:rPr>
          <w:color w:val="231F20"/>
        </w:rPr>
        <w:t>The Base </w:t>
      </w:r>
      <w:r>
        <w:rPr>
          <w:color w:val="231F20"/>
          <w:spacing w:val="2"/>
        </w:rPr>
        <w:t>Salary </w:t>
      </w:r>
      <w:r>
        <w:rPr>
          <w:color w:val="231F20"/>
        </w:rPr>
        <w:t>is the foundation of the total compensation. It also serves as the basis for determining the Short-Term Bonus target levels, and the allocation of Long-Term Incentives. The Base </w:t>
      </w:r>
      <w:r>
        <w:rPr>
          <w:color w:val="231F20"/>
          <w:spacing w:val="2"/>
        </w:rPr>
        <w:t>Salary </w:t>
      </w:r>
      <w:r>
        <w:rPr>
          <w:color w:val="231F20"/>
        </w:rPr>
        <w:t>is reviewed annually by the Compensation Committee. Criteria for adjustments are the individual contribution and the level of competitivity against the</w:t>
      </w:r>
      <w:r>
        <w:rPr>
          <w:color w:val="231F20"/>
          <w:spacing w:val="-3"/>
        </w:rPr>
        <w:t> </w:t>
      </w:r>
      <w:r>
        <w:rPr>
          <w:color w:val="231F20"/>
        </w:rPr>
        <w:t>benchmarks.</w:t>
      </w:r>
    </w:p>
    <w:p>
      <w:pPr>
        <w:pStyle w:val="BodyText"/>
        <w:spacing w:before="5"/>
        <w:rPr>
          <w:sz w:val="20"/>
        </w:rPr>
      </w:pPr>
    </w:p>
    <w:p>
      <w:pPr>
        <w:pStyle w:val="ListParagraph"/>
        <w:numPr>
          <w:ilvl w:val="0"/>
          <w:numId w:val="21"/>
        </w:numPr>
        <w:tabs>
          <w:tab w:pos="419" w:val="left" w:leader="none"/>
        </w:tabs>
        <w:spacing w:line="240" w:lineRule="auto" w:before="1" w:after="0"/>
        <w:ind w:left="418" w:right="0" w:hanging="227"/>
        <w:jc w:val="left"/>
        <w:rPr>
          <w:sz w:val="18"/>
        </w:rPr>
      </w:pPr>
      <w:r>
        <w:rPr>
          <w:color w:val="586670"/>
          <w:w w:val="105"/>
          <w:sz w:val="18"/>
        </w:rPr>
        <w:t>Short-Term</w:t>
      </w:r>
      <w:r>
        <w:rPr>
          <w:color w:val="586670"/>
          <w:spacing w:val="-11"/>
          <w:w w:val="105"/>
          <w:sz w:val="18"/>
        </w:rPr>
        <w:t> </w:t>
      </w:r>
      <w:r>
        <w:rPr>
          <w:color w:val="586670"/>
          <w:w w:val="105"/>
          <w:sz w:val="18"/>
        </w:rPr>
        <w:t>Bonus</w:t>
      </w:r>
    </w:p>
    <w:p>
      <w:pPr>
        <w:pStyle w:val="BodyText"/>
        <w:spacing w:line="276" w:lineRule="auto" w:before="31"/>
        <w:ind w:left="191" w:right="128"/>
      </w:pPr>
      <w:r>
        <w:rPr>
          <w:color w:val="231F20"/>
          <w:w w:val="105"/>
        </w:rPr>
        <w:t>The Short-Term Bonus (Annual Bonus) is based on a bonus target expressed in </w:t>
      </w:r>
      <w:r>
        <w:rPr>
          <w:color w:val="231F20"/>
          <w:w w:val="130"/>
        </w:rPr>
        <w:t>% </w:t>
      </w:r>
      <w:r>
        <w:rPr>
          <w:color w:val="231F20"/>
          <w:w w:val="105"/>
        </w:rPr>
        <w:t>of the Annual Base Salary.</w:t>
      </w:r>
    </w:p>
    <w:p>
      <w:pPr>
        <w:pStyle w:val="BodyText"/>
        <w:spacing w:line="208" w:lineRule="exact"/>
        <w:ind w:left="191"/>
      </w:pPr>
      <w:r>
        <w:rPr>
          <w:color w:val="231F20"/>
        </w:rPr>
        <w:t>In 2013, the following target levels were applicable</w:t>
      </w:r>
    </w:p>
    <w:p>
      <w:pPr>
        <w:pStyle w:val="BodyText"/>
        <w:spacing w:before="31"/>
        <w:ind w:left="191"/>
      </w:pPr>
      <w:r>
        <w:rPr>
          <w:color w:val="231F20"/>
          <w:w w:val="120"/>
        </w:rPr>
        <w:t>– CEO: 150%;</w:t>
      </w:r>
    </w:p>
    <w:p>
      <w:pPr>
        <w:pStyle w:val="ListParagraph"/>
        <w:numPr>
          <w:ilvl w:val="0"/>
          <w:numId w:val="22"/>
        </w:numPr>
        <w:tabs>
          <w:tab w:pos="418" w:val="left" w:leader="none"/>
        </w:tabs>
        <w:spacing w:line="240" w:lineRule="auto" w:before="31" w:after="0"/>
        <w:ind w:left="418" w:right="0" w:hanging="227"/>
        <w:jc w:val="left"/>
        <w:rPr>
          <w:sz w:val="18"/>
        </w:rPr>
      </w:pPr>
      <w:r>
        <w:rPr>
          <w:color w:val="231F20"/>
          <w:sz w:val="18"/>
        </w:rPr>
        <w:t>Executive Vice President:</w:t>
      </w:r>
      <w:r>
        <w:rPr>
          <w:color w:val="231F20"/>
          <w:spacing w:val="-17"/>
          <w:sz w:val="18"/>
        </w:rPr>
        <w:t> </w:t>
      </w:r>
      <w:r>
        <w:rPr>
          <w:color w:val="231F20"/>
          <w:sz w:val="18"/>
        </w:rPr>
        <w:t>100%;</w:t>
      </w:r>
    </w:p>
    <w:p>
      <w:pPr>
        <w:pStyle w:val="ListParagraph"/>
        <w:numPr>
          <w:ilvl w:val="0"/>
          <w:numId w:val="22"/>
        </w:numPr>
        <w:tabs>
          <w:tab w:pos="418" w:val="left" w:leader="none"/>
        </w:tabs>
        <w:spacing w:line="240" w:lineRule="auto" w:before="31" w:after="0"/>
        <w:ind w:left="418" w:right="0" w:hanging="227"/>
        <w:jc w:val="left"/>
        <w:rPr>
          <w:sz w:val="18"/>
        </w:rPr>
      </w:pPr>
      <w:r>
        <w:rPr>
          <w:color w:val="231F20"/>
          <w:sz w:val="18"/>
        </w:rPr>
        <w:t>Deputy Executive Vice President:</w:t>
      </w:r>
      <w:r>
        <w:rPr>
          <w:color w:val="231F20"/>
          <w:spacing w:val="-17"/>
          <w:sz w:val="18"/>
        </w:rPr>
        <w:t> </w:t>
      </w:r>
      <w:r>
        <w:rPr>
          <w:color w:val="231F20"/>
          <w:spacing w:val="2"/>
          <w:sz w:val="18"/>
        </w:rPr>
        <w:t>80%.</w:t>
      </w:r>
    </w:p>
    <w:p>
      <w:pPr>
        <w:pStyle w:val="BodyText"/>
        <w:spacing w:line="276" w:lineRule="auto" w:before="31"/>
        <w:ind w:left="191" w:right="128"/>
      </w:pPr>
      <w:r>
        <w:rPr>
          <w:color w:val="231F20"/>
        </w:rPr>
        <w:t>For the CEO, 100% of the target is linked to Nestlé Group performance. For the other members of  the  Executive Board, 30% of the target is linked to the Nestlé Group performance and 70% is linked to individual performance (quantitative and qualitative objectives) as well as other relevant business or functional performance. In case an executive reaches all objectives in full, the bonus payout will correspond to the targeted level. If one or more objectives are not reached, the bonus is reduced. The bonus</w:t>
      </w:r>
      <w:r>
        <w:rPr>
          <w:color w:val="231F20"/>
          <w:spacing w:val="15"/>
        </w:rPr>
        <w:t> </w:t>
      </w:r>
      <w:r>
        <w:rPr>
          <w:color w:val="231F20"/>
        </w:rPr>
        <w:t>payout</w:t>
      </w:r>
    </w:p>
    <w:p>
      <w:pPr>
        <w:pStyle w:val="BodyText"/>
        <w:spacing w:line="276" w:lineRule="auto"/>
        <w:ind w:left="191" w:right="128"/>
      </w:pPr>
      <w:r>
        <w:rPr>
          <w:color w:val="231F20"/>
        </w:rPr>
        <w:t>is capped at a maximum of 130% of the target. There is no guarantee for the payout of a minimum bonus.</w:t>
      </w:r>
    </w:p>
    <w:p>
      <w:pPr>
        <w:pStyle w:val="BodyText"/>
        <w:spacing w:line="276" w:lineRule="auto"/>
        <w:ind w:left="191" w:right="105" w:firstLine="226"/>
      </w:pPr>
      <w:r>
        <w:rPr>
          <w:color w:val="231F20"/>
        </w:rPr>
        <w:t>On proposal by the Chairman and the CEO and as   approved by the Compensation Committee, the objectives  are set at the beginning of each year, in line with the Company’s strategy. The Nestlé Group performance is determined by measurable operational objectives, most importantly organic growth, real internal growth, operating profit, as well as market share and working capital   efficiency. Additional objectives used to evaluate Nestlé Group performance are related to the Nestlé strategic roadmap. Individual objectives are determined by the CEO  for each member of the Executive Board. They are related to the individual area of responsibility and can be of financial   or non-financial</w:t>
      </w:r>
      <w:r>
        <w:rPr>
          <w:color w:val="231F20"/>
          <w:spacing w:val="-6"/>
        </w:rPr>
        <w:t> </w:t>
      </w:r>
      <w:r>
        <w:rPr>
          <w:color w:val="231F20"/>
        </w:rPr>
        <w:t>nature.</w:t>
      </w:r>
    </w:p>
    <w:p>
      <w:pPr>
        <w:pStyle w:val="BodyText"/>
        <w:spacing w:line="276" w:lineRule="auto"/>
        <w:ind w:left="191" w:right="191" w:firstLine="226"/>
      </w:pPr>
      <w:r>
        <w:rPr>
          <w:color w:val="231F20"/>
        </w:rPr>
        <w:t>For competitive reasons Nestlé does not further specify the details of its objectives.</w:t>
      </w:r>
    </w:p>
    <w:p>
      <w:pPr>
        <w:pStyle w:val="BodyText"/>
        <w:spacing w:line="276" w:lineRule="auto"/>
        <w:ind w:left="191" w:right="128" w:firstLine="226"/>
      </w:pPr>
      <w:r>
        <w:rPr>
          <w:color w:val="231F20"/>
          <w:w w:val="105"/>
        </w:rPr>
        <w:t>Members of the Executive Board can elect to receive </w:t>
      </w:r>
      <w:r>
        <w:rPr>
          <w:color w:val="231F20"/>
          <w:spacing w:val="2"/>
          <w:w w:val="105"/>
        </w:rPr>
        <w:t>part</w:t>
      </w:r>
      <w:r>
        <w:rPr>
          <w:color w:val="231F20"/>
          <w:spacing w:val="-16"/>
          <w:w w:val="105"/>
        </w:rPr>
        <w:t> </w:t>
      </w:r>
      <w:r>
        <w:rPr>
          <w:color w:val="231F20"/>
          <w:w w:val="105"/>
        </w:rPr>
        <w:t>or</w:t>
      </w:r>
      <w:r>
        <w:rPr>
          <w:color w:val="231F20"/>
          <w:spacing w:val="-16"/>
          <w:w w:val="105"/>
        </w:rPr>
        <w:t> </w:t>
      </w:r>
      <w:r>
        <w:rPr>
          <w:color w:val="231F20"/>
          <w:w w:val="105"/>
        </w:rPr>
        <w:t>all</w:t>
      </w:r>
      <w:r>
        <w:rPr>
          <w:color w:val="231F20"/>
          <w:spacing w:val="-15"/>
          <w:w w:val="105"/>
        </w:rPr>
        <w:t> </w:t>
      </w:r>
      <w:r>
        <w:rPr>
          <w:color w:val="231F20"/>
          <w:w w:val="105"/>
        </w:rPr>
        <w:t>of</w:t>
      </w:r>
      <w:r>
        <w:rPr>
          <w:color w:val="231F20"/>
          <w:spacing w:val="-16"/>
          <w:w w:val="105"/>
        </w:rPr>
        <w:t> </w:t>
      </w:r>
      <w:r>
        <w:rPr>
          <w:color w:val="231F20"/>
          <w:w w:val="105"/>
        </w:rPr>
        <w:t>their</w:t>
      </w:r>
      <w:r>
        <w:rPr>
          <w:color w:val="231F20"/>
          <w:spacing w:val="-16"/>
          <w:w w:val="105"/>
        </w:rPr>
        <w:t> </w:t>
      </w:r>
      <w:r>
        <w:rPr>
          <w:color w:val="231F20"/>
          <w:w w:val="105"/>
        </w:rPr>
        <w:t>Short-Term</w:t>
      </w:r>
      <w:r>
        <w:rPr>
          <w:color w:val="231F20"/>
          <w:spacing w:val="-15"/>
          <w:w w:val="105"/>
        </w:rPr>
        <w:t> </w:t>
      </w:r>
      <w:r>
        <w:rPr>
          <w:color w:val="231F20"/>
          <w:w w:val="105"/>
        </w:rPr>
        <w:t>Bonus</w:t>
      </w:r>
      <w:r>
        <w:rPr>
          <w:color w:val="231F20"/>
          <w:spacing w:val="-16"/>
          <w:w w:val="105"/>
        </w:rPr>
        <w:t> </w:t>
      </w:r>
      <w:r>
        <w:rPr>
          <w:color w:val="231F20"/>
          <w:w w:val="105"/>
        </w:rPr>
        <w:t>in</w:t>
      </w:r>
      <w:r>
        <w:rPr>
          <w:color w:val="231F20"/>
          <w:spacing w:val="-16"/>
          <w:w w:val="105"/>
        </w:rPr>
        <w:t> </w:t>
      </w:r>
      <w:r>
        <w:rPr>
          <w:color w:val="231F20"/>
          <w:w w:val="105"/>
        </w:rPr>
        <w:t>Nestlé</w:t>
      </w:r>
      <w:r>
        <w:rPr>
          <w:color w:val="231F20"/>
          <w:spacing w:val="-15"/>
          <w:w w:val="105"/>
        </w:rPr>
        <w:t> </w:t>
      </w:r>
      <w:r>
        <w:rPr>
          <w:color w:val="231F20"/>
          <w:w w:val="105"/>
        </w:rPr>
        <w:t>S.A.</w:t>
      </w:r>
      <w:r>
        <w:rPr>
          <w:color w:val="231F20"/>
          <w:spacing w:val="-16"/>
          <w:w w:val="105"/>
        </w:rPr>
        <w:t> </w:t>
      </w:r>
      <w:r>
        <w:rPr>
          <w:color w:val="231F20"/>
          <w:w w:val="105"/>
        </w:rPr>
        <w:t>shares. The CEO has to take a minimum of 50% in</w:t>
      </w:r>
      <w:r>
        <w:rPr>
          <w:color w:val="231F20"/>
          <w:spacing w:val="-37"/>
          <w:w w:val="105"/>
        </w:rPr>
        <w:t> </w:t>
      </w:r>
      <w:r>
        <w:rPr>
          <w:color w:val="231F20"/>
          <w:w w:val="105"/>
        </w:rPr>
        <w:t>shares.</w:t>
      </w:r>
    </w:p>
    <w:p>
      <w:pPr>
        <w:spacing w:after="0" w:line="276" w:lineRule="auto"/>
        <w:sectPr>
          <w:type w:val="continuous"/>
          <w:pgSz w:w="11910" w:h="14750"/>
          <w:pgMar w:top="540" w:bottom="280" w:left="460" w:right="460"/>
          <w:cols w:num="2" w:equalWidth="0">
            <w:col w:w="5602" w:space="40"/>
            <w:col w:w="5348"/>
          </w:cols>
        </w:sectPr>
      </w:pPr>
    </w:p>
    <w:p>
      <w:pPr>
        <w:pStyle w:val="BodyText"/>
        <w:rPr>
          <w:sz w:val="20"/>
        </w:rPr>
      </w:pPr>
    </w:p>
    <w:p>
      <w:pPr>
        <w:pStyle w:val="BodyText"/>
        <w:rPr>
          <w:sz w:val="20"/>
        </w:rPr>
      </w:pPr>
    </w:p>
    <w:p>
      <w:pPr>
        <w:pStyle w:val="BodyText"/>
        <w:spacing w:before="11"/>
        <w:rPr>
          <w:sz w:val="15"/>
        </w:rPr>
      </w:pPr>
    </w:p>
    <w:p>
      <w:pPr>
        <w:pStyle w:val="ListParagraph"/>
        <w:numPr>
          <w:ilvl w:val="0"/>
          <w:numId w:val="21"/>
        </w:numPr>
        <w:tabs>
          <w:tab w:pos="334" w:val="left" w:leader="none"/>
        </w:tabs>
        <w:spacing w:line="240" w:lineRule="auto" w:before="106" w:after="0"/>
        <w:ind w:left="333" w:right="0" w:hanging="227"/>
        <w:jc w:val="left"/>
        <w:rPr>
          <w:sz w:val="18"/>
        </w:rPr>
      </w:pPr>
      <w:r>
        <w:rPr>
          <w:color w:val="586670"/>
          <w:w w:val="105"/>
          <w:sz w:val="18"/>
        </w:rPr>
        <w:t>Long-Term</w:t>
      </w:r>
      <w:r>
        <w:rPr>
          <w:color w:val="586670"/>
          <w:spacing w:val="-11"/>
          <w:w w:val="105"/>
          <w:sz w:val="18"/>
        </w:rPr>
        <w:t> </w:t>
      </w:r>
      <w:r>
        <w:rPr>
          <w:color w:val="586670"/>
          <w:w w:val="105"/>
          <w:sz w:val="18"/>
        </w:rPr>
        <w:t>Incentives</w:t>
      </w:r>
    </w:p>
    <w:p>
      <w:pPr>
        <w:pStyle w:val="BodyText"/>
        <w:spacing w:line="276" w:lineRule="auto" w:before="31"/>
        <w:ind w:left="106" w:right="1676"/>
      </w:pPr>
      <w:r>
        <w:rPr>
          <w:color w:val="231F20"/>
        </w:rPr>
        <w:t>In </w:t>
      </w:r>
      <w:r>
        <w:rPr>
          <w:color w:val="231F20"/>
          <w:spacing w:val="-4"/>
        </w:rPr>
        <w:t>2013, </w:t>
      </w:r>
      <w:r>
        <w:rPr>
          <w:color w:val="231F20"/>
        </w:rPr>
        <w:t>members of Nestlé’s Executive Board were eligible to receive Long-Term Incentives in the form of Performance Share Units under the Performance Share Unit Plan (PSUP). The target grant value for Long-Term Incentives in </w:t>
      </w:r>
      <w:r>
        <w:rPr>
          <w:color w:val="231F20"/>
          <w:spacing w:val="-4"/>
        </w:rPr>
        <w:t>2013 </w:t>
      </w:r>
      <w:r>
        <w:rPr>
          <w:color w:val="231F20"/>
        </w:rPr>
        <w:t>was 150% of the Annual Base Salary for the CEO and 100% of the Annual Base </w:t>
      </w:r>
      <w:r>
        <w:rPr>
          <w:color w:val="231F20"/>
          <w:spacing w:val="2"/>
        </w:rPr>
        <w:t>Salary </w:t>
      </w:r>
      <w:r>
        <w:rPr>
          <w:color w:val="231F20"/>
        </w:rPr>
        <w:t>for the  other members of the Executive Board. The fair value of Long-Term Incentives at grant is determined by using generally accepted pricing models. Please refer to Note </w:t>
      </w:r>
      <w:r>
        <w:rPr>
          <w:color w:val="231F20"/>
          <w:spacing w:val="-10"/>
        </w:rPr>
        <w:t>11  </w:t>
      </w:r>
      <w:r>
        <w:rPr>
          <w:color w:val="231F20"/>
        </w:rPr>
        <w:t>of the Consolidated Financial Statements of the   Nestlé Group</w:t>
      </w:r>
      <w:r>
        <w:rPr>
          <w:color w:val="231F20"/>
          <w:spacing w:val="-6"/>
        </w:rPr>
        <w:t> </w:t>
      </w:r>
      <w:r>
        <w:rPr>
          <w:color w:val="231F20"/>
          <w:spacing w:val="-4"/>
        </w:rPr>
        <w:t>2013.</w:t>
      </w:r>
    </w:p>
    <w:p>
      <w:pPr>
        <w:pStyle w:val="BodyText"/>
        <w:spacing w:before="6"/>
        <w:rPr>
          <w:sz w:val="20"/>
        </w:rPr>
      </w:pPr>
    </w:p>
    <w:p>
      <w:pPr>
        <w:pStyle w:val="BodyText"/>
        <w:ind w:left="106"/>
      </w:pPr>
      <w:r>
        <w:rPr>
          <w:color w:val="231F20"/>
          <w:w w:val="105"/>
        </w:rPr>
        <w:t>Starting in 2013, no more options under the Management Stock Option Plan (MSOP) are granted anymore.</w:t>
      </w:r>
    </w:p>
    <w:p>
      <w:pPr>
        <w:pStyle w:val="BodyText"/>
        <w:spacing w:before="4"/>
        <w:rPr>
          <w:sz w:val="23"/>
        </w:rPr>
      </w:pPr>
    </w:p>
    <w:p>
      <w:pPr>
        <w:pStyle w:val="BodyText"/>
        <w:spacing w:line="276" w:lineRule="auto"/>
        <w:ind w:left="106" w:right="1430"/>
      </w:pPr>
      <w:r>
        <w:rPr>
          <w:color w:val="231F20"/>
        </w:rPr>
        <w:t>The </w:t>
      </w:r>
      <w:r>
        <w:rPr>
          <w:rFonts w:ascii="Arial" w:hAnsi="Arial"/>
          <w:color w:val="231F20"/>
        </w:rPr>
        <w:t>Performance Share Unit Plan (PSUP) </w:t>
      </w:r>
      <w:r>
        <w:rPr>
          <w:color w:val="231F20"/>
        </w:rPr>
        <w:t>provides units which entitle participants to receive freely disposable Nestlé S.A. shares at the end of the three-year restriction period.</w:t>
      </w:r>
    </w:p>
    <w:p>
      <w:pPr>
        <w:pStyle w:val="BodyText"/>
        <w:spacing w:line="276" w:lineRule="auto"/>
        <w:ind w:left="106" w:right="1430" w:firstLine="226"/>
      </w:pPr>
      <w:r>
        <w:rPr>
          <w:color w:val="231F20"/>
          <w:w w:val="96"/>
        </w:rPr>
        <w:t>T</w:t>
      </w:r>
      <w:r>
        <w:rPr>
          <w:color w:val="231F20"/>
          <w:w w:val="108"/>
        </w:rPr>
        <w:t>h</w:t>
      </w:r>
      <w:r>
        <w:rPr>
          <w:color w:val="231F20"/>
          <w:w w:val="100"/>
        </w:rPr>
        <w:t>e</w:t>
      </w:r>
      <w:r>
        <w:rPr>
          <w:color w:val="231F20"/>
        </w:rPr>
        <w:t> </w:t>
      </w:r>
      <w:r>
        <w:rPr>
          <w:color w:val="231F20"/>
          <w:w w:val="81"/>
        </w:rPr>
        <w:t>l</w:t>
      </w:r>
      <w:r>
        <w:rPr>
          <w:color w:val="231F20"/>
          <w:w w:val="100"/>
        </w:rPr>
        <w:t>e</w:t>
      </w:r>
      <w:r>
        <w:rPr>
          <w:color w:val="231F20"/>
          <w:w w:val="107"/>
        </w:rPr>
        <w:t>v</w:t>
      </w:r>
      <w:r>
        <w:rPr>
          <w:color w:val="231F20"/>
          <w:w w:val="100"/>
        </w:rPr>
        <w:t>e</w:t>
      </w:r>
      <w:r>
        <w:rPr>
          <w:color w:val="231F20"/>
          <w:w w:val="81"/>
        </w:rPr>
        <w:t>l</w:t>
      </w:r>
      <w:r>
        <w:rPr>
          <w:color w:val="231F20"/>
        </w:rPr>
        <w:t> </w:t>
      </w:r>
      <w:r>
        <w:rPr>
          <w:color w:val="231F20"/>
          <w:w w:val="101"/>
        </w:rPr>
        <w:t>a</w:t>
      </w:r>
      <w:r>
        <w:rPr>
          <w:color w:val="231F20"/>
          <w:w w:val="83"/>
        </w:rPr>
        <w:t>t</w:t>
      </w:r>
      <w:r>
        <w:rPr>
          <w:color w:val="231F20"/>
        </w:rPr>
        <w:t> </w:t>
      </w:r>
      <w:r>
        <w:rPr>
          <w:color w:val="231F20"/>
          <w:w w:val="113"/>
        </w:rPr>
        <w:t>w</w:t>
      </w:r>
      <w:r>
        <w:rPr>
          <w:color w:val="231F20"/>
          <w:w w:val="108"/>
        </w:rPr>
        <w:t>h</w:t>
      </w:r>
      <w:r>
        <w:rPr>
          <w:color w:val="231F20"/>
          <w:w w:val="83"/>
        </w:rPr>
        <w:t>i</w:t>
      </w:r>
      <w:r>
        <w:rPr>
          <w:color w:val="231F20"/>
          <w:w w:val="108"/>
        </w:rPr>
        <w:t>ch</w:t>
      </w:r>
      <w:r>
        <w:rPr>
          <w:color w:val="231F20"/>
        </w:rPr>
        <w:t> </w:t>
      </w:r>
      <w:r>
        <w:rPr>
          <w:color w:val="231F20"/>
          <w:w w:val="110"/>
        </w:rPr>
        <w:t>P</w:t>
      </w:r>
      <w:r>
        <w:rPr>
          <w:color w:val="231F20"/>
          <w:w w:val="131"/>
        </w:rPr>
        <w:t>S</w:t>
      </w:r>
      <w:r>
        <w:rPr>
          <w:color w:val="231F20"/>
          <w:w w:val="117"/>
        </w:rPr>
        <w:t>U</w:t>
      </w:r>
      <w:r>
        <w:rPr>
          <w:color w:val="231F20"/>
          <w:w w:val="121"/>
        </w:rPr>
        <w:t>s</w:t>
      </w:r>
      <w:r>
        <w:rPr>
          <w:color w:val="231F20"/>
          <w:w w:val="64"/>
        </w:rPr>
        <w:t>’</w:t>
      </w:r>
      <w:r>
        <w:rPr>
          <w:color w:val="231F20"/>
        </w:rPr>
        <w:t> </w:t>
      </w:r>
      <w:r>
        <w:rPr>
          <w:color w:val="231F20"/>
          <w:w w:val="107"/>
        </w:rPr>
        <w:t>v</w:t>
      </w:r>
      <w:r>
        <w:rPr>
          <w:color w:val="231F20"/>
          <w:w w:val="100"/>
        </w:rPr>
        <w:t>e</w:t>
      </w:r>
      <w:r>
        <w:rPr>
          <w:color w:val="231F20"/>
          <w:w w:val="121"/>
        </w:rPr>
        <w:t>s</w:t>
      </w:r>
      <w:r>
        <w:rPr>
          <w:color w:val="231F20"/>
          <w:w w:val="83"/>
        </w:rPr>
        <w:t>t</w:t>
      </w:r>
      <w:r>
        <w:rPr>
          <w:color w:val="231F20"/>
        </w:rPr>
        <w:t> </w:t>
      </w:r>
      <w:r>
        <w:rPr>
          <w:color w:val="231F20"/>
          <w:w w:val="83"/>
        </w:rPr>
        <w:t>i</w:t>
      </w:r>
      <w:r>
        <w:rPr>
          <w:color w:val="231F20"/>
          <w:w w:val="121"/>
        </w:rPr>
        <w:t>s</w:t>
      </w:r>
      <w:r>
        <w:rPr>
          <w:color w:val="231F20"/>
        </w:rPr>
        <w:t> </w:t>
      </w:r>
      <w:r>
        <w:rPr>
          <w:color w:val="231F20"/>
          <w:w w:val="107"/>
        </w:rPr>
        <w:t>d</w:t>
      </w:r>
      <w:r>
        <w:rPr>
          <w:color w:val="231F20"/>
          <w:w w:val="100"/>
        </w:rPr>
        <w:t>e</w:t>
      </w:r>
      <w:r>
        <w:rPr>
          <w:color w:val="231F20"/>
          <w:w w:val="83"/>
        </w:rPr>
        <w:t>t</w:t>
      </w:r>
      <w:r>
        <w:rPr>
          <w:color w:val="231F20"/>
          <w:w w:val="100"/>
        </w:rPr>
        <w:t>e</w:t>
      </w:r>
      <w:r>
        <w:rPr>
          <w:color w:val="231F20"/>
          <w:w w:val="90"/>
        </w:rPr>
        <w:t>r</w:t>
      </w:r>
      <w:r>
        <w:rPr>
          <w:color w:val="231F20"/>
          <w:w w:val="110"/>
        </w:rPr>
        <w:t>m</w:t>
      </w:r>
      <w:r>
        <w:rPr>
          <w:color w:val="231F20"/>
          <w:w w:val="99"/>
        </w:rPr>
        <w:t>in</w:t>
      </w:r>
      <w:r>
        <w:rPr>
          <w:color w:val="231F20"/>
          <w:w w:val="100"/>
        </w:rPr>
        <w:t>e</w:t>
      </w:r>
      <w:r>
        <w:rPr>
          <w:color w:val="231F20"/>
          <w:w w:val="107"/>
        </w:rPr>
        <w:t>d</w:t>
      </w:r>
      <w:r>
        <w:rPr>
          <w:color w:val="231F20"/>
        </w:rPr>
        <w:t> </w:t>
      </w:r>
      <w:r>
        <w:rPr>
          <w:color w:val="231F20"/>
          <w:w w:val="107"/>
        </w:rPr>
        <w:t>b</w:t>
      </w:r>
      <w:r>
        <w:rPr>
          <w:color w:val="231F20"/>
          <w:w w:val="105"/>
        </w:rPr>
        <w:t>y</w:t>
      </w:r>
      <w:r>
        <w:rPr>
          <w:color w:val="231F20"/>
        </w:rPr>
        <w:t> </w:t>
      </w:r>
      <w:r>
        <w:rPr>
          <w:color w:val="231F20"/>
          <w:w w:val="83"/>
        </w:rPr>
        <w:t>t</w:t>
      </w:r>
      <w:r>
        <w:rPr>
          <w:color w:val="231F20"/>
          <w:w w:val="108"/>
        </w:rPr>
        <w:t>h</w:t>
      </w:r>
      <w:r>
        <w:rPr>
          <w:color w:val="231F20"/>
          <w:w w:val="100"/>
        </w:rPr>
        <w:t>e</w:t>
      </w:r>
      <w:r>
        <w:rPr>
          <w:color w:val="231F20"/>
        </w:rPr>
        <w:t> </w:t>
      </w:r>
      <w:r>
        <w:rPr>
          <w:color w:val="231F20"/>
          <w:w w:val="107"/>
        </w:rPr>
        <w:t>d</w:t>
      </w:r>
      <w:r>
        <w:rPr>
          <w:color w:val="231F20"/>
          <w:w w:val="100"/>
        </w:rPr>
        <w:t>e</w:t>
      </w:r>
      <w:r>
        <w:rPr>
          <w:color w:val="231F20"/>
          <w:w w:val="107"/>
        </w:rPr>
        <w:t>gr</w:t>
      </w:r>
      <w:r>
        <w:rPr>
          <w:color w:val="231F20"/>
          <w:w w:val="100"/>
        </w:rPr>
        <w:t>ee</w:t>
      </w:r>
      <w:r>
        <w:rPr>
          <w:color w:val="231F20"/>
        </w:rPr>
        <w:t> </w:t>
      </w:r>
      <w:r>
        <w:rPr>
          <w:color w:val="231F20"/>
          <w:w w:val="107"/>
        </w:rPr>
        <w:t>b</w:t>
      </w:r>
      <w:r>
        <w:rPr>
          <w:color w:val="231F20"/>
          <w:w w:val="105"/>
        </w:rPr>
        <w:t>y</w:t>
      </w:r>
      <w:r>
        <w:rPr>
          <w:color w:val="231F20"/>
        </w:rPr>
        <w:t> </w:t>
      </w:r>
      <w:r>
        <w:rPr>
          <w:color w:val="231F20"/>
          <w:w w:val="113"/>
        </w:rPr>
        <w:t>w</w:t>
      </w:r>
      <w:r>
        <w:rPr>
          <w:color w:val="231F20"/>
          <w:w w:val="108"/>
        </w:rPr>
        <w:t>h</w:t>
      </w:r>
      <w:r>
        <w:rPr>
          <w:color w:val="231F20"/>
          <w:w w:val="83"/>
        </w:rPr>
        <w:t>i</w:t>
      </w:r>
      <w:r>
        <w:rPr>
          <w:color w:val="231F20"/>
          <w:w w:val="108"/>
        </w:rPr>
        <w:t>ch</w:t>
      </w:r>
      <w:r>
        <w:rPr>
          <w:color w:val="231F20"/>
        </w:rPr>
        <w:t> </w:t>
      </w:r>
      <w:r>
        <w:rPr>
          <w:color w:val="231F20"/>
          <w:w w:val="83"/>
        </w:rPr>
        <w:t>t</w:t>
      </w:r>
      <w:r>
        <w:rPr>
          <w:color w:val="231F20"/>
          <w:w w:val="108"/>
        </w:rPr>
        <w:t>h</w:t>
      </w:r>
      <w:r>
        <w:rPr>
          <w:color w:val="231F20"/>
          <w:w w:val="100"/>
        </w:rPr>
        <w:t>e</w:t>
      </w:r>
      <w:r>
        <w:rPr>
          <w:color w:val="231F20"/>
        </w:rPr>
        <w:t> </w:t>
      </w:r>
      <w:r>
        <w:rPr>
          <w:color w:val="231F20"/>
          <w:w w:val="83"/>
        </w:rPr>
        <w:t>t</w:t>
      </w:r>
      <w:r>
        <w:rPr>
          <w:color w:val="231F20"/>
          <w:w w:val="113"/>
        </w:rPr>
        <w:t>w</w:t>
      </w:r>
      <w:r>
        <w:rPr>
          <w:color w:val="231F20"/>
          <w:w w:val="109"/>
        </w:rPr>
        <w:t>o</w:t>
      </w:r>
      <w:r>
        <w:rPr>
          <w:color w:val="231F20"/>
        </w:rPr>
        <w:t> </w:t>
      </w:r>
      <w:r>
        <w:rPr>
          <w:color w:val="231F20"/>
          <w:w w:val="107"/>
        </w:rPr>
        <w:t>p</w:t>
      </w:r>
      <w:r>
        <w:rPr>
          <w:color w:val="231F20"/>
          <w:w w:val="100"/>
        </w:rPr>
        <w:t>e</w:t>
      </w:r>
      <w:r>
        <w:rPr>
          <w:color w:val="231F20"/>
          <w:w w:val="90"/>
        </w:rPr>
        <w:t>r</w:t>
      </w:r>
      <w:r>
        <w:rPr>
          <w:color w:val="231F20"/>
          <w:w w:val="88"/>
        </w:rPr>
        <w:t>f</w:t>
      </w:r>
      <w:r>
        <w:rPr>
          <w:color w:val="231F20"/>
          <w:w w:val="109"/>
        </w:rPr>
        <w:t>o</w:t>
      </w:r>
      <w:r>
        <w:rPr>
          <w:color w:val="231F20"/>
          <w:w w:val="90"/>
        </w:rPr>
        <w:t>r</w:t>
      </w:r>
      <w:r>
        <w:rPr>
          <w:color w:val="231F20"/>
          <w:w w:val="110"/>
        </w:rPr>
        <w:t>m</w:t>
      </w:r>
      <w:r>
        <w:rPr>
          <w:color w:val="231F20"/>
          <w:w w:val="101"/>
        </w:rPr>
        <w:t>a</w:t>
      </w:r>
      <w:r>
        <w:rPr>
          <w:color w:val="231F20"/>
          <w:w w:val="108"/>
        </w:rPr>
        <w:t>nc</w:t>
      </w:r>
      <w:r>
        <w:rPr>
          <w:color w:val="231F20"/>
          <w:w w:val="100"/>
        </w:rPr>
        <w:t>e</w:t>
      </w:r>
      <w:r>
        <w:rPr>
          <w:color w:val="231F20"/>
        </w:rPr>
        <w:t> </w:t>
      </w:r>
      <w:r>
        <w:rPr>
          <w:color w:val="231F20"/>
          <w:w w:val="110"/>
        </w:rPr>
        <w:t>m</w:t>
      </w:r>
      <w:r>
        <w:rPr>
          <w:color w:val="231F20"/>
          <w:w w:val="100"/>
        </w:rPr>
        <w:t>e</w:t>
      </w:r>
      <w:r>
        <w:rPr>
          <w:color w:val="231F20"/>
          <w:w w:val="109"/>
        </w:rPr>
        <w:t>as</w:t>
      </w:r>
      <w:r>
        <w:rPr>
          <w:color w:val="231F20"/>
          <w:w w:val="108"/>
        </w:rPr>
        <w:t>u</w:t>
      </w:r>
      <w:r>
        <w:rPr>
          <w:color w:val="231F20"/>
          <w:w w:val="90"/>
        </w:rPr>
        <w:t>r</w:t>
      </w:r>
      <w:r>
        <w:rPr>
          <w:color w:val="231F20"/>
          <w:w w:val="100"/>
        </w:rPr>
        <w:t>e</w:t>
      </w:r>
      <w:r>
        <w:rPr>
          <w:color w:val="231F20"/>
          <w:w w:val="121"/>
        </w:rPr>
        <w:t>s</w:t>
      </w:r>
      <w:r>
        <w:rPr>
          <w:color w:val="231F20"/>
        </w:rPr>
        <w:t> </w:t>
      </w:r>
      <w:r>
        <w:rPr>
          <w:color w:val="231F20"/>
          <w:w w:val="109"/>
        </w:rPr>
        <w:t>o</w:t>
      </w:r>
      <w:r>
        <w:rPr>
          <w:color w:val="231F20"/>
          <w:w w:val="88"/>
        </w:rPr>
        <w:t>f</w:t>
      </w:r>
      <w:r>
        <w:rPr>
          <w:color w:val="231F20"/>
        </w:rPr>
        <w:t> </w:t>
      </w:r>
      <w:r>
        <w:rPr>
          <w:color w:val="231F20"/>
          <w:w w:val="83"/>
        </w:rPr>
        <w:t>t</w:t>
      </w:r>
      <w:r>
        <w:rPr>
          <w:color w:val="231F20"/>
          <w:w w:val="108"/>
        </w:rPr>
        <w:t>h</w:t>
      </w:r>
      <w:r>
        <w:rPr>
          <w:color w:val="231F20"/>
          <w:w w:val="100"/>
        </w:rPr>
        <w:t>e </w:t>
      </w:r>
      <w:r>
        <w:rPr>
          <w:color w:val="231F20"/>
        </w:rPr>
        <w:t>PSUP are met. These two criteria are:</w:t>
      </w:r>
    </w:p>
    <w:p>
      <w:pPr>
        <w:pStyle w:val="ListParagraph"/>
        <w:numPr>
          <w:ilvl w:val="0"/>
          <w:numId w:val="11"/>
        </w:numPr>
        <w:tabs>
          <w:tab w:pos="334" w:val="left" w:leader="none"/>
        </w:tabs>
        <w:spacing w:line="276" w:lineRule="auto" w:before="0" w:after="0"/>
        <w:ind w:left="333" w:right="1936" w:hanging="227"/>
        <w:jc w:val="left"/>
        <w:rPr>
          <w:sz w:val="18"/>
        </w:rPr>
      </w:pPr>
      <w:r>
        <w:rPr>
          <w:color w:val="231F20"/>
          <w:w w:val="105"/>
          <w:sz w:val="18"/>
        </w:rPr>
        <w:t>the</w:t>
      </w:r>
      <w:r>
        <w:rPr>
          <w:color w:val="231F20"/>
          <w:spacing w:val="-19"/>
          <w:w w:val="105"/>
          <w:sz w:val="18"/>
        </w:rPr>
        <w:t> </w:t>
      </w:r>
      <w:r>
        <w:rPr>
          <w:color w:val="231F20"/>
          <w:w w:val="105"/>
          <w:sz w:val="18"/>
        </w:rPr>
        <w:t>relative</w:t>
      </w:r>
      <w:r>
        <w:rPr>
          <w:color w:val="231F20"/>
          <w:spacing w:val="-18"/>
          <w:w w:val="105"/>
          <w:sz w:val="18"/>
        </w:rPr>
        <w:t> </w:t>
      </w:r>
      <w:r>
        <w:rPr>
          <w:color w:val="231F20"/>
          <w:w w:val="105"/>
          <w:sz w:val="18"/>
        </w:rPr>
        <w:t>Total</w:t>
      </w:r>
      <w:r>
        <w:rPr>
          <w:color w:val="231F20"/>
          <w:spacing w:val="-19"/>
          <w:w w:val="105"/>
          <w:sz w:val="18"/>
        </w:rPr>
        <w:t> </w:t>
      </w:r>
      <w:r>
        <w:rPr>
          <w:color w:val="231F20"/>
          <w:w w:val="105"/>
          <w:sz w:val="18"/>
        </w:rPr>
        <w:t>Shareholder</w:t>
      </w:r>
      <w:r>
        <w:rPr>
          <w:color w:val="231F20"/>
          <w:spacing w:val="-18"/>
          <w:w w:val="105"/>
          <w:sz w:val="18"/>
        </w:rPr>
        <w:t> </w:t>
      </w:r>
      <w:r>
        <w:rPr>
          <w:color w:val="231F20"/>
          <w:w w:val="105"/>
          <w:sz w:val="18"/>
        </w:rPr>
        <w:t>Return</w:t>
      </w:r>
      <w:r>
        <w:rPr>
          <w:color w:val="231F20"/>
          <w:spacing w:val="-19"/>
          <w:w w:val="105"/>
          <w:sz w:val="18"/>
        </w:rPr>
        <w:t> </w:t>
      </w:r>
      <w:r>
        <w:rPr>
          <w:color w:val="231F20"/>
          <w:w w:val="105"/>
          <w:sz w:val="18"/>
        </w:rPr>
        <w:t>of</w:t>
      </w:r>
      <w:r>
        <w:rPr>
          <w:color w:val="231F20"/>
          <w:spacing w:val="-18"/>
          <w:w w:val="105"/>
          <w:sz w:val="18"/>
        </w:rPr>
        <w:t> </w:t>
      </w:r>
      <w:r>
        <w:rPr>
          <w:color w:val="231F20"/>
          <w:w w:val="105"/>
          <w:sz w:val="18"/>
        </w:rPr>
        <w:t>the</w:t>
      </w:r>
      <w:r>
        <w:rPr>
          <w:color w:val="231F20"/>
          <w:spacing w:val="-19"/>
          <w:w w:val="105"/>
          <w:sz w:val="18"/>
        </w:rPr>
        <w:t> </w:t>
      </w:r>
      <w:r>
        <w:rPr>
          <w:color w:val="231F20"/>
          <w:w w:val="105"/>
          <w:sz w:val="18"/>
        </w:rPr>
        <w:t>Nestlé</w:t>
      </w:r>
      <w:r>
        <w:rPr>
          <w:color w:val="231F20"/>
          <w:spacing w:val="-18"/>
          <w:w w:val="105"/>
          <w:sz w:val="18"/>
        </w:rPr>
        <w:t> </w:t>
      </w:r>
      <w:r>
        <w:rPr>
          <w:color w:val="231F20"/>
          <w:w w:val="105"/>
          <w:sz w:val="18"/>
        </w:rPr>
        <w:t>S.A.</w:t>
      </w:r>
      <w:r>
        <w:rPr>
          <w:color w:val="231F20"/>
          <w:spacing w:val="-19"/>
          <w:w w:val="105"/>
          <w:sz w:val="18"/>
        </w:rPr>
        <w:t> </w:t>
      </w:r>
      <w:r>
        <w:rPr>
          <w:color w:val="231F20"/>
          <w:w w:val="105"/>
          <w:sz w:val="18"/>
        </w:rPr>
        <w:t>share</w:t>
      </w:r>
      <w:r>
        <w:rPr>
          <w:color w:val="231F20"/>
          <w:spacing w:val="-18"/>
          <w:w w:val="105"/>
          <w:sz w:val="18"/>
        </w:rPr>
        <w:t> </w:t>
      </w:r>
      <w:r>
        <w:rPr>
          <w:color w:val="231F20"/>
          <w:w w:val="105"/>
          <w:sz w:val="18"/>
        </w:rPr>
        <w:t>in</w:t>
      </w:r>
      <w:r>
        <w:rPr>
          <w:color w:val="231F20"/>
          <w:spacing w:val="-19"/>
          <w:w w:val="105"/>
          <w:sz w:val="18"/>
        </w:rPr>
        <w:t> </w:t>
      </w:r>
      <w:r>
        <w:rPr>
          <w:color w:val="231F20"/>
          <w:w w:val="105"/>
          <w:sz w:val="18"/>
        </w:rPr>
        <w:t>relation</w:t>
      </w:r>
      <w:r>
        <w:rPr>
          <w:color w:val="231F20"/>
          <w:spacing w:val="-18"/>
          <w:w w:val="105"/>
          <w:sz w:val="18"/>
        </w:rPr>
        <w:t> </w:t>
      </w:r>
      <w:r>
        <w:rPr>
          <w:color w:val="231F20"/>
          <w:w w:val="105"/>
          <w:sz w:val="18"/>
        </w:rPr>
        <w:t>to</w:t>
      </w:r>
      <w:r>
        <w:rPr>
          <w:color w:val="231F20"/>
          <w:spacing w:val="-19"/>
          <w:w w:val="105"/>
          <w:sz w:val="18"/>
        </w:rPr>
        <w:t> </w:t>
      </w:r>
      <w:r>
        <w:rPr>
          <w:color w:val="231F20"/>
          <w:w w:val="105"/>
          <w:sz w:val="18"/>
        </w:rPr>
        <w:t>the</w:t>
      </w:r>
      <w:r>
        <w:rPr>
          <w:color w:val="231F20"/>
          <w:spacing w:val="-18"/>
          <w:w w:val="105"/>
          <w:sz w:val="18"/>
        </w:rPr>
        <w:t> </w:t>
      </w:r>
      <w:r>
        <w:rPr>
          <w:color w:val="231F20"/>
          <w:w w:val="105"/>
          <w:sz w:val="18"/>
        </w:rPr>
        <w:t>STOXX</w:t>
      </w:r>
      <w:r>
        <w:rPr>
          <w:color w:val="231F20"/>
          <w:spacing w:val="-19"/>
          <w:w w:val="105"/>
          <w:sz w:val="18"/>
        </w:rPr>
        <w:t> </w:t>
      </w:r>
      <w:r>
        <w:rPr>
          <w:color w:val="231F20"/>
          <w:w w:val="105"/>
          <w:sz w:val="18"/>
        </w:rPr>
        <w:t>Europe</w:t>
      </w:r>
      <w:r>
        <w:rPr>
          <w:color w:val="231F20"/>
          <w:spacing w:val="-18"/>
          <w:w w:val="105"/>
          <w:sz w:val="18"/>
        </w:rPr>
        <w:t> </w:t>
      </w:r>
      <w:r>
        <w:rPr>
          <w:color w:val="231F20"/>
          <w:spacing w:val="2"/>
          <w:w w:val="105"/>
          <w:sz w:val="18"/>
        </w:rPr>
        <w:t>600</w:t>
      </w:r>
      <w:r>
        <w:rPr>
          <w:color w:val="231F20"/>
          <w:spacing w:val="-19"/>
          <w:w w:val="105"/>
          <w:sz w:val="18"/>
        </w:rPr>
        <w:t> </w:t>
      </w:r>
      <w:r>
        <w:rPr>
          <w:color w:val="231F20"/>
          <w:w w:val="105"/>
          <w:sz w:val="18"/>
        </w:rPr>
        <w:t>Food</w:t>
      </w:r>
      <w:r>
        <w:rPr>
          <w:color w:val="231F20"/>
          <w:spacing w:val="-18"/>
          <w:w w:val="105"/>
          <w:sz w:val="18"/>
        </w:rPr>
        <w:t> </w:t>
      </w:r>
      <w:r>
        <w:rPr>
          <w:color w:val="231F20"/>
          <w:w w:val="105"/>
          <w:sz w:val="18"/>
        </w:rPr>
        <w:t>&amp; Beverage</w:t>
      </w:r>
      <w:r>
        <w:rPr>
          <w:color w:val="231F20"/>
          <w:spacing w:val="-11"/>
          <w:w w:val="105"/>
          <w:sz w:val="18"/>
        </w:rPr>
        <w:t> </w:t>
      </w:r>
      <w:r>
        <w:rPr>
          <w:color w:val="231F20"/>
          <w:w w:val="105"/>
          <w:sz w:val="18"/>
        </w:rPr>
        <w:t>Net</w:t>
      </w:r>
      <w:r>
        <w:rPr>
          <w:color w:val="231F20"/>
          <w:spacing w:val="-11"/>
          <w:w w:val="105"/>
          <w:sz w:val="18"/>
        </w:rPr>
        <w:t> </w:t>
      </w:r>
      <w:r>
        <w:rPr>
          <w:color w:val="231F20"/>
          <w:w w:val="105"/>
          <w:sz w:val="18"/>
        </w:rPr>
        <w:t>Return</w:t>
      </w:r>
      <w:r>
        <w:rPr>
          <w:color w:val="231F20"/>
          <w:spacing w:val="-10"/>
          <w:w w:val="105"/>
          <w:sz w:val="18"/>
        </w:rPr>
        <w:t> </w:t>
      </w:r>
      <w:r>
        <w:rPr>
          <w:color w:val="231F20"/>
          <w:w w:val="105"/>
          <w:sz w:val="18"/>
        </w:rPr>
        <w:t>Index</w:t>
      </w:r>
      <w:r>
        <w:rPr>
          <w:color w:val="231F20"/>
          <w:spacing w:val="-11"/>
          <w:w w:val="105"/>
          <w:sz w:val="18"/>
        </w:rPr>
        <w:t> </w:t>
      </w:r>
      <w:r>
        <w:rPr>
          <w:color w:val="231F20"/>
          <w:w w:val="105"/>
          <w:sz w:val="18"/>
        </w:rPr>
        <w:t>(as</w:t>
      </w:r>
      <w:r>
        <w:rPr>
          <w:color w:val="231F20"/>
          <w:spacing w:val="-10"/>
          <w:w w:val="105"/>
          <w:sz w:val="18"/>
        </w:rPr>
        <w:t> </w:t>
      </w:r>
      <w:r>
        <w:rPr>
          <w:color w:val="231F20"/>
          <w:w w:val="105"/>
          <w:sz w:val="18"/>
        </w:rPr>
        <w:t>from</w:t>
      </w:r>
      <w:r>
        <w:rPr>
          <w:color w:val="231F20"/>
          <w:spacing w:val="-11"/>
          <w:w w:val="105"/>
          <w:sz w:val="18"/>
        </w:rPr>
        <w:t> </w:t>
      </w:r>
      <w:r>
        <w:rPr>
          <w:color w:val="231F20"/>
          <w:spacing w:val="-5"/>
          <w:w w:val="105"/>
          <w:sz w:val="18"/>
        </w:rPr>
        <w:t>2014</w:t>
      </w:r>
      <w:r>
        <w:rPr>
          <w:color w:val="231F20"/>
          <w:spacing w:val="-10"/>
          <w:w w:val="105"/>
          <w:sz w:val="18"/>
        </w:rPr>
        <w:t> </w:t>
      </w:r>
      <w:r>
        <w:rPr>
          <w:color w:val="231F20"/>
          <w:w w:val="105"/>
          <w:sz w:val="18"/>
        </w:rPr>
        <w:t>the</w:t>
      </w:r>
      <w:r>
        <w:rPr>
          <w:color w:val="231F20"/>
          <w:spacing w:val="-11"/>
          <w:w w:val="105"/>
          <w:sz w:val="18"/>
        </w:rPr>
        <w:t> </w:t>
      </w:r>
      <w:r>
        <w:rPr>
          <w:color w:val="231F20"/>
          <w:w w:val="105"/>
          <w:sz w:val="18"/>
        </w:rPr>
        <w:t>STOXX</w:t>
      </w:r>
      <w:r>
        <w:rPr>
          <w:color w:val="231F20"/>
          <w:spacing w:val="-10"/>
          <w:w w:val="105"/>
          <w:sz w:val="18"/>
        </w:rPr>
        <w:t> </w:t>
      </w:r>
      <w:r>
        <w:rPr>
          <w:color w:val="231F20"/>
          <w:w w:val="105"/>
          <w:sz w:val="18"/>
        </w:rPr>
        <w:t>Global</w:t>
      </w:r>
      <w:r>
        <w:rPr>
          <w:color w:val="231F20"/>
          <w:spacing w:val="-11"/>
          <w:w w:val="105"/>
          <w:sz w:val="18"/>
        </w:rPr>
        <w:t> </w:t>
      </w:r>
      <w:r>
        <w:rPr>
          <w:color w:val="231F20"/>
          <w:w w:val="105"/>
          <w:sz w:val="18"/>
        </w:rPr>
        <w:t>1800</w:t>
      </w:r>
      <w:r>
        <w:rPr>
          <w:color w:val="231F20"/>
          <w:spacing w:val="-10"/>
          <w:w w:val="105"/>
          <w:sz w:val="18"/>
        </w:rPr>
        <w:t> </w:t>
      </w:r>
      <w:r>
        <w:rPr>
          <w:color w:val="231F20"/>
          <w:w w:val="105"/>
          <w:sz w:val="18"/>
        </w:rPr>
        <w:t>Food</w:t>
      </w:r>
      <w:r>
        <w:rPr>
          <w:color w:val="231F20"/>
          <w:spacing w:val="-11"/>
          <w:w w:val="105"/>
          <w:sz w:val="18"/>
        </w:rPr>
        <w:t> </w:t>
      </w:r>
      <w:r>
        <w:rPr>
          <w:color w:val="231F20"/>
          <w:w w:val="105"/>
          <w:sz w:val="18"/>
        </w:rPr>
        <w:t>&amp;</w:t>
      </w:r>
      <w:r>
        <w:rPr>
          <w:color w:val="231F20"/>
          <w:spacing w:val="-10"/>
          <w:w w:val="105"/>
          <w:sz w:val="18"/>
        </w:rPr>
        <w:t> </w:t>
      </w:r>
      <w:r>
        <w:rPr>
          <w:color w:val="231F20"/>
          <w:w w:val="105"/>
          <w:sz w:val="18"/>
        </w:rPr>
        <w:t>Beverage</w:t>
      </w:r>
      <w:r>
        <w:rPr>
          <w:color w:val="231F20"/>
          <w:spacing w:val="-11"/>
          <w:w w:val="105"/>
          <w:sz w:val="18"/>
        </w:rPr>
        <w:t> </w:t>
      </w:r>
      <w:r>
        <w:rPr>
          <w:color w:val="231F20"/>
          <w:w w:val="105"/>
          <w:sz w:val="18"/>
        </w:rPr>
        <w:t>Net</w:t>
      </w:r>
      <w:r>
        <w:rPr>
          <w:color w:val="231F20"/>
          <w:spacing w:val="-10"/>
          <w:w w:val="105"/>
          <w:sz w:val="18"/>
        </w:rPr>
        <w:t> </w:t>
      </w:r>
      <w:r>
        <w:rPr>
          <w:color w:val="231F20"/>
          <w:w w:val="105"/>
          <w:sz w:val="18"/>
        </w:rPr>
        <w:t>Return</w:t>
      </w:r>
      <w:r>
        <w:rPr>
          <w:color w:val="231F20"/>
          <w:spacing w:val="-11"/>
          <w:w w:val="105"/>
          <w:sz w:val="18"/>
        </w:rPr>
        <w:t> </w:t>
      </w:r>
      <w:r>
        <w:rPr>
          <w:color w:val="231F20"/>
          <w:w w:val="105"/>
          <w:sz w:val="18"/>
        </w:rPr>
        <w:t>Index);</w:t>
      </w:r>
    </w:p>
    <w:p>
      <w:pPr>
        <w:pStyle w:val="ListParagraph"/>
        <w:numPr>
          <w:ilvl w:val="0"/>
          <w:numId w:val="11"/>
        </w:numPr>
        <w:tabs>
          <w:tab w:pos="334" w:val="left" w:leader="none"/>
        </w:tabs>
        <w:spacing w:line="208" w:lineRule="exact" w:before="0" w:after="0"/>
        <w:ind w:left="333" w:right="0" w:hanging="227"/>
        <w:jc w:val="left"/>
        <w:rPr>
          <w:sz w:val="18"/>
        </w:rPr>
      </w:pPr>
      <w:r>
        <w:rPr>
          <w:color w:val="231F20"/>
          <w:sz w:val="18"/>
        </w:rPr>
        <w:t>the</w:t>
      </w:r>
      <w:r>
        <w:rPr>
          <w:color w:val="231F20"/>
          <w:spacing w:val="-7"/>
          <w:sz w:val="18"/>
        </w:rPr>
        <w:t> </w:t>
      </w:r>
      <w:r>
        <w:rPr>
          <w:color w:val="231F20"/>
          <w:sz w:val="18"/>
        </w:rPr>
        <w:t>growth</w:t>
      </w:r>
      <w:r>
        <w:rPr>
          <w:color w:val="231F20"/>
          <w:spacing w:val="-6"/>
          <w:sz w:val="18"/>
        </w:rPr>
        <w:t> </w:t>
      </w:r>
      <w:r>
        <w:rPr>
          <w:color w:val="231F20"/>
          <w:sz w:val="18"/>
        </w:rPr>
        <w:t>of</w:t>
      </w:r>
      <w:r>
        <w:rPr>
          <w:color w:val="231F20"/>
          <w:spacing w:val="-6"/>
          <w:sz w:val="18"/>
        </w:rPr>
        <w:t> </w:t>
      </w:r>
      <w:r>
        <w:rPr>
          <w:color w:val="231F20"/>
          <w:sz w:val="18"/>
        </w:rPr>
        <w:t>the</w:t>
      </w:r>
      <w:r>
        <w:rPr>
          <w:color w:val="231F20"/>
          <w:spacing w:val="-6"/>
          <w:sz w:val="18"/>
        </w:rPr>
        <w:t> </w:t>
      </w:r>
      <w:r>
        <w:rPr>
          <w:color w:val="231F20"/>
          <w:sz w:val="18"/>
        </w:rPr>
        <w:t>underlying</w:t>
      </w:r>
      <w:r>
        <w:rPr>
          <w:color w:val="231F20"/>
          <w:spacing w:val="-6"/>
          <w:sz w:val="18"/>
        </w:rPr>
        <w:t> </w:t>
      </w:r>
      <w:r>
        <w:rPr>
          <w:color w:val="231F20"/>
          <w:sz w:val="18"/>
        </w:rPr>
        <w:t>Earnings</w:t>
      </w:r>
      <w:r>
        <w:rPr>
          <w:color w:val="231F20"/>
          <w:spacing w:val="-6"/>
          <w:sz w:val="18"/>
        </w:rPr>
        <w:t> </w:t>
      </w:r>
      <w:r>
        <w:rPr>
          <w:color w:val="231F20"/>
          <w:sz w:val="18"/>
        </w:rPr>
        <w:t>per</w:t>
      </w:r>
      <w:r>
        <w:rPr>
          <w:color w:val="231F20"/>
          <w:spacing w:val="-6"/>
          <w:sz w:val="18"/>
        </w:rPr>
        <w:t> </w:t>
      </w:r>
      <w:r>
        <w:rPr>
          <w:color w:val="231F20"/>
          <w:sz w:val="18"/>
        </w:rPr>
        <w:t>Share</w:t>
      </w:r>
      <w:r>
        <w:rPr>
          <w:color w:val="231F20"/>
          <w:spacing w:val="-6"/>
          <w:sz w:val="18"/>
        </w:rPr>
        <w:t> </w:t>
      </w:r>
      <w:r>
        <w:rPr>
          <w:color w:val="231F20"/>
          <w:sz w:val="18"/>
        </w:rPr>
        <w:t>in</w:t>
      </w:r>
      <w:r>
        <w:rPr>
          <w:color w:val="231F20"/>
          <w:spacing w:val="-6"/>
          <w:sz w:val="18"/>
        </w:rPr>
        <w:t> </w:t>
      </w:r>
      <w:r>
        <w:rPr>
          <w:color w:val="231F20"/>
          <w:sz w:val="18"/>
        </w:rPr>
        <w:t>constant</w:t>
      </w:r>
      <w:r>
        <w:rPr>
          <w:color w:val="231F20"/>
          <w:spacing w:val="-7"/>
          <w:sz w:val="18"/>
        </w:rPr>
        <w:t> </w:t>
      </w:r>
      <w:r>
        <w:rPr>
          <w:color w:val="231F20"/>
          <w:sz w:val="18"/>
        </w:rPr>
        <w:t>currencies.</w:t>
      </w:r>
    </w:p>
    <w:p>
      <w:pPr>
        <w:pStyle w:val="BodyText"/>
        <w:spacing w:before="29"/>
        <w:ind w:left="106"/>
      </w:pPr>
      <w:r>
        <w:rPr>
          <w:color w:val="231F20"/>
        </w:rPr>
        <w:t>Each of the two measures will have equal weighting in determining the vesting level of the initial PSU award.</w:t>
      </w:r>
    </w:p>
    <w:p>
      <w:pPr>
        <w:pStyle w:val="BodyText"/>
        <w:spacing w:line="276" w:lineRule="auto" w:before="31"/>
        <w:ind w:left="106" w:right="1085" w:firstLine="226"/>
      </w:pPr>
      <w:r>
        <w:rPr>
          <w:color w:val="231F20"/>
          <w:w w:val="110"/>
        </w:rPr>
        <w:t>The</w:t>
      </w:r>
      <w:r>
        <w:rPr>
          <w:color w:val="231F20"/>
          <w:spacing w:val="-24"/>
          <w:w w:val="110"/>
        </w:rPr>
        <w:t> </w:t>
      </w:r>
      <w:r>
        <w:rPr>
          <w:color w:val="231F20"/>
          <w:w w:val="110"/>
        </w:rPr>
        <w:t>vesting</w:t>
      </w:r>
      <w:r>
        <w:rPr>
          <w:color w:val="231F20"/>
          <w:spacing w:val="-24"/>
          <w:w w:val="110"/>
        </w:rPr>
        <w:t> </w:t>
      </w:r>
      <w:r>
        <w:rPr>
          <w:color w:val="231F20"/>
          <w:w w:val="110"/>
        </w:rPr>
        <w:t>range</w:t>
      </w:r>
      <w:r>
        <w:rPr>
          <w:color w:val="231F20"/>
          <w:spacing w:val="-23"/>
          <w:w w:val="110"/>
        </w:rPr>
        <w:t> </w:t>
      </w:r>
      <w:r>
        <w:rPr>
          <w:color w:val="231F20"/>
          <w:w w:val="110"/>
        </w:rPr>
        <w:t>of</w:t>
      </w:r>
      <w:r>
        <w:rPr>
          <w:color w:val="231F20"/>
          <w:spacing w:val="-24"/>
          <w:w w:val="110"/>
        </w:rPr>
        <w:t> </w:t>
      </w:r>
      <w:r>
        <w:rPr>
          <w:color w:val="231F20"/>
          <w:w w:val="110"/>
        </w:rPr>
        <w:t>the</w:t>
      </w:r>
      <w:r>
        <w:rPr>
          <w:color w:val="231F20"/>
          <w:spacing w:val="-23"/>
          <w:w w:val="110"/>
        </w:rPr>
        <w:t> </w:t>
      </w:r>
      <w:r>
        <w:rPr>
          <w:color w:val="231F20"/>
          <w:w w:val="110"/>
        </w:rPr>
        <w:t>PSU</w:t>
      </w:r>
      <w:r>
        <w:rPr>
          <w:color w:val="231F20"/>
          <w:spacing w:val="-24"/>
          <w:w w:val="110"/>
        </w:rPr>
        <w:t> </w:t>
      </w:r>
      <w:r>
        <w:rPr>
          <w:color w:val="231F20"/>
          <w:spacing w:val="2"/>
          <w:w w:val="110"/>
        </w:rPr>
        <w:t>starts</w:t>
      </w:r>
      <w:r>
        <w:rPr>
          <w:color w:val="231F20"/>
          <w:spacing w:val="-24"/>
          <w:w w:val="110"/>
        </w:rPr>
        <w:t> </w:t>
      </w:r>
      <w:r>
        <w:rPr>
          <w:color w:val="231F20"/>
          <w:w w:val="110"/>
        </w:rPr>
        <w:t>at</w:t>
      </w:r>
      <w:r>
        <w:rPr>
          <w:color w:val="231F20"/>
          <w:spacing w:val="-23"/>
          <w:w w:val="110"/>
        </w:rPr>
        <w:t> </w:t>
      </w:r>
      <w:r>
        <w:rPr>
          <w:color w:val="231F20"/>
          <w:w w:val="110"/>
        </w:rPr>
        <w:t>0%</w:t>
      </w:r>
      <w:r>
        <w:rPr>
          <w:color w:val="231F20"/>
          <w:spacing w:val="-24"/>
          <w:w w:val="110"/>
        </w:rPr>
        <w:t> </w:t>
      </w:r>
      <w:r>
        <w:rPr>
          <w:color w:val="231F20"/>
          <w:w w:val="110"/>
        </w:rPr>
        <w:t>and</w:t>
      </w:r>
      <w:r>
        <w:rPr>
          <w:color w:val="231F20"/>
          <w:spacing w:val="-23"/>
          <w:w w:val="110"/>
        </w:rPr>
        <w:t> </w:t>
      </w:r>
      <w:r>
        <w:rPr>
          <w:color w:val="231F20"/>
          <w:w w:val="110"/>
        </w:rPr>
        <w:t>is</w:t>
      </w:r>
      <w:r>
        <w:rPr>
          <w:color w:val="231F20"/>
          <w:spacing w:val="-24"/>
          <w:w w:val="110"/>
        </w:rPr>
        <w:t> </w:t>
      </w:r>
      <w:r>
        <w:rPr>
          <w:color w:val="231F20"/>
          <w:w w:val="110"/>
        </w:rPr>
        <w:t>capped</w:t>
      </w:r>
      <w:r>
        <w:rPr>
          <w:color w:val="231F20"/>
          <w:spacing w:val="-24"/>
          <w:w w:val="110"/>
        </w:rPr>
        <w:t> </w:t>
      </w:r>
      <w:r>
        <w:rPr>
          <w:color w:val="231F20"/>
          <w:w w:val="110"/>
        </w:rPr>
        <w:t>at</w:t>
      </w:r>
      <w:r>
        <w:rPr>
          <w:color w:val="231F20"/>
          <w:spacing w:val="-23"/>
          <w:w w:val="110"/>
        </w:rPr>
        <w:t> </w:t>
      </w:r>
      <w:r>
        <w:rPr>
          <w:color w:val="231F20"/>
          <w:w w:val="110"/>
        </w:rPr>
        <w:t>200%</w:t>
      </w:r>
      <w:r>
        <w:rPr>
          <w:color w:val="231F20"/>
          <w:spacing w:val="-24"/>
          <w:w w:val="110"/>
        </w:rPr>
        <w:t> </w:t>
      </w:r>
      <w:r>
        <w:rPr>
          <w:color w:val="231F20"/>
          <w:w w:val="110"/>
        </w:rPr>
        <w:t>of</w:t>
      </w:r>
      <w:r>
        <w:rPr>
          <w:color w:val="231F20"/>
          <w:spacing w:val="-23"/>
          <w:w w:val="110"/>
        </w:rPr>
        <w:t> </w:t>
      </w:r>
      <w:r>
        <w:rPr>
          <w:color w:val="231F20"/>
          <w:w w:val="110"/>
        </w:rPr>
        <w:t>the</w:t>
      </w:r>
      <w:r>
        <w:rPr>
          <w:color w:val="231F20"/>
          <w:spacing w:val="-24"/>
          <w:w w:val="110"/>
        </w:rPr>
        <w:t> </w:t>
      </w:r>
      <w:r>
        <w:rPr>
          <w:color w:val="231F20"/>
          <w:w w:val="110"/>
        </w:rPr>
        <w:t>initial</w:t>
      </w:r>
      <w:r>
        <w:rPr>
          <w:color w:val="231F20"/>
          <w:spacing w:val="-24"/>
          <w:w w:val="110"/>
        </w:rPr>
        <w:t> </w:t>
      </w:r>
      <w:r>
        <w:rPr>
          <w:color w:val="231F20"/>
          <w:w w:val="110"/>
        </w:rPr>
        <w:t>PSU</w:t>
      </w:r>
      <w:r>
        <w:rPr>
          <w:color w:val="231F20"/>
          <w:spacing w:val="-23"/>
          <w:w w:val="110"/>
        </w:rPr>
        <w:t> </w:t>
      </w:r>
      <w:r>
        <w:rPr>
          <w:color w:val="231F20"/>
          <w:w w:val="110"/>
        </w:rPr>
        <w:t>award,</w:t>
      </w:r>
      <w:r>
        <w:rPr>
          <w:color w:val="231F20"/>
          <w:spacing w:val="-24"/>
          <w:w w:val="110"/>
        </w:rPr>
        <w:t> </w:t>
      </w:r>
      <w:r>
        <w:rPr>
          <w:color w:val="231F20"/>
          <w:w w:val="110"/>
        </w:rPr>
        <w:t>thus</w:t>
      </w:r>
      <w:r>
        <w:rPr>
          <w:color w:val="231F20"/>
          <w:spacing w:val="-23"/>
          <w:w w:val="110"/>
        </w:rPr>
        <w:t> </w:t>
      </w:r>
      <w:r>
        <w:rPr>
          <w:color w:val="231F20"/>
          <w:w w:val="110"/>
        </w:rPr>
        <w:t>providing alignment</w:t>
      </w:r>
      <w:r>
        <w:rPr>
          <w:color w:val="231F20"/>
          <w:spacing w:val="-12"/>
          <w:w w:val="110"/>
        </w:rPr>
        <w:t> </w:t>
      </w:r>
      <w:r>
        <w:rPr>
          <w:color w:val="231F20"/>
          <w:w w:val="110"/>
        </w:rPr>
        <w:t>with</w:t>
      </w:r>
      <w:r>
        <w:rPr>
          <w:color w:val="231F20"/>
          <w:spacing w:val="-12"/>
          <w:w w:val="110"/>
        </w:rPr>
        <w:t> </w:t>
      </w:r>
      <w:r>
        <w:rPr>
          <w:color w:val="231F20"/>
          <w:w w:val="110"/>
        </w:rPr>
        <w:t>strategy</w:t>
      </w:r>
      <w:r>
        <w:rPr>
          <w:color w:val="231F20"/>
          <w:spacing w:val="-12"/>
          <w:w w:val="110"/>
        </w:rPr>
        <w:t> </w:t>
      </w:r>
      <w:r>
        <w:rPr>
          <w:color w:val="231F20"/>
          <w:w w:val="110"/>
        </w:rPr>
        <w:t>and</w:t>
      </w:r>
      <w:r>
        <w:rPr>
          <w:color w:val="231F20"/>
          <w:spacing w:val="-11"/>
          <w:w w:val="110"/>
        </w:rPr>
        <w:t> </w:t>
      </w:r>
      <w:r>
        <w:rPr>
          <w:color w:val="231F20"/>
          <w:w w:val="110"/>
        </w:rPr>
        <w:t>shareholders’</w:t>
      </w:r>
      <w:r>
        <w:rPr>
          <w:color w:val="231F20"/>
          <w:spacing w:val="-12"/>
          <w:w w:val="110"/>
        </w:rPr>
        <w:t> </w:t>
      </w:r>
      <w:r>
        <w:rPr>
          <w:color w:val="231F20"/>
          <w:w w:val="110"/>
        </w:rPr>
        <w:t>interests.</w:t>
      </w:r>
    </w:p>
    <w:p>
      <w:pPr>
        <w:pStyle w:val="BodyText"/>
        <w:spacing w:before="7"/>
        <w:rPr>
          <w:sz w:val="20"/>
        </w:rPr>
      </w:pPr>
    </w:p>
    <w:p>
      <w:pPr>
        <w:pStyle w:val="BodyText"/>
        <w:spacing w:line="276" w:lineRule="auto"/>
        <w:ind w:left="106" w:right="1972"/>
      </w:pPr>
      <w:r>
        <w:rPr>
          <w:color w:val="231F20"/>
        </w:rPr>
        <w:t>The </w:t>
      </w:r>
      <w:r>
        <w:rPr>
          <w:rFonts w:ascii="Arial" w:hAnsi="Arial"/>
          <w:color w:val="231F20"/>
        </w:rPr>
        <w:t>Restricted Stock Unit Plan (RSUP) </w:t>
      </w:r>
      <w:r>
        <w:rPr>
          <w:color w:val="231F20"/>
        </w:rPr>
        <w:t>provides units to a larger group of management which entitle participants to receive freely disposable Nestlé S.A. shares at the end of the three-year restriction period on  a one-for-one</w:t>
      </w:r>
      <w:r>
        <w:rPr>
          <w:color w:val="231F20"/>
          <w:spacing w:val="-7"/>
        </w:rPr>
        <w:t> </w:t>
      </w:r>
      <w:r>
        <w:rPr>
          <w:color w:val="231F20"/>
        </w:rPr>
        <w:t>ratio.</w:t>
      </w:r>
    </w:p>
    <w:p>
      <w:pPr>
        <w:pStyle w:val="BodyText"/>
        <w:rPr>
          <w:sz w:val="22"/>
        </w:rPr>
      </w:pPr>
    </w:p>
    <w:p>
      <w:pPr>
        <w:pStyle w:val="BodyText"/>
        <w:spacing w:before="3"/>
        <w:rPr>
          <w:sz w:val="19"/>
        </w:rPr>
      </w:pPr>
    </w:p>
    <w:p>
      <w:pPr>
        <w:pStyle w:val="Heading3"/>
        <w:ind w:left="106"/>
      </w:pPr>
      <w:r>
        <w:rPr>
          <w:color w:val="231F20"/>
          <w:w w:val="110"/>
        </w:rPr>
        <w:t>Overview of Executive Board compensation elements</w:t>
      </w:r>
    </w:p>
    <w:p>
      <w:pPr>
        <w:pStyle w:val="BodyText"/>
        <w:spacing w:before="5" w:after="1"/>
        <w:rPr>
          <w:b/>
          <w:sz w:val="17"/>
        </w:rPr>
      </w:pPr>
    </w:p>
    <w:tbl>
      <w:tblPr>
        <w:tblW w:w="0" w:type="auto"/>
        <w:jc w:val="left"/>
        <w:tblInd w:w="1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9"/>
        <w:gridCol w:w="226"/>
        <w:gridCol w:w="3727"/>
        <w:gridCol w:w="226"/>
        <w:gridCol w:w="3727"/>
      </w:tblGrid>
      <w:tr>
        <w:trPr>
          <w:trHeight w:val="463" w:hRule="atLeast"/>
        </w:trPr>
        <w:tc>
          <w:tcPr>
            <w:tcW w:w="2409" w:type="dxa"/>
            <w:tcBorders>
              <w:top w:val="single" w:sz="2" w:space="0" w:color="231F20"/>
            </w:tcBorders>
          </w:tcPr>
          <w:p>
            <w:pPr>
              <w:pStyle w:val="TableParagraph"/>
              <w:spacing w:line="240" w:lineRule="auto" w:before="94"/>
              <w:rPr>
                <w:b/>
                <w:sz w:val="15"/>
              </w:rPr>
            </w:pPr>
            <w:r>
              <w:rPr>
                <w:b/>
                <w:color w:val="231F20"/>
                <w:w w:val="115"/>
                <w:sz w:val="15"/>
              </w:rPr>
              <w:t>CEO</w:t>
            </w:r>
          </w:p>
        </w:tc>
        <w:tc>
          <w:tcPr>
            <w:tcW w:w="7906" w:type="dxa"/>
            <w:gridSpan w:val="4"/>
            <w:tcBorders>
              <w:top w:val="single" w:sz="2" w:space="0" w:color="231F20"/>
            </w:tcBorders>
          </w:tcPr>
          <w:p>
            <w:pPr>
              <w:pStyle w:val="TableParagraph"/>
              <w:spacing w:line="240" w:lineRule="auto" w:before="0"/>
              <w:rPr>
                <w:rFonts w:ascii="Times New Roman"/>
                <w:sz w:val="16"/>
              </w:rPr>
            </w:pPr>
          </w:p>
        </w:tc>
      </w:tr>
      <w:tr>
        <w:trPr>
          <w:trHeight w:val="720" w:hRule="atLeast"/>
        </w:trPr>
        <w:tc>
          <w:tcPr>
            <w:tcW w:w="2409" w:type="dxa"/>
            <w:shd w:val="clear" w:color="auto" w:fill="F6F6F7"/>
          </w:tcPr>
          <w:p>
            <w:pPr>
              <w:pStyle w:val="TableParagraph"/>
              <w:spacing w:line="247" w:lineRule="auto" w:before="99"/>
              <w:ind w:left="992" w:right="761" w:hanging="220"/>
              <w:rPr>
                <w:b/>
                <w:sz w:val="15"/>
              </w:rPr>
            </w:pPr>
            <w:r>
              <w:rPr>
                <w:b/>
                <w:color w:val="586670"/>
                <w:w w:val="110"/>
                <w:sz w:val="15"/>
              </w:rPr>
              <w:t>Base salary 100%</w:t>
            </w:r>
          </w:p>
        </w:tc>
        <w:tc>
          <w:tcPr>
            <w:tcW w:w="226" w:type="dxa"/>
          </w:tcPr>
          <w:p>
            <w:pPr>
              <w:pStyle w:val="TableParagraph"/>
              <w:spacing w:line="240" w:lineRule="auto" w:before="0"/>
              <w:rPr>
                <w:rFonts w:ascii="Times New Roman"/>
                <w:sz w:val="16"/>
              </w:rPr>
            </w:pPr>
          </w:p>
        </w:tc>
        <w:tc>
          <w:tcPr>
            <w:tcW w:w="3727" w:type="dxa"/>
            <w:shd w:val="clear" w:color="auto" w:fill="E6E8E9"/>
          </w:tcPr>
          <w:p>
            <w:pPr>
              <w:pStyle w:val="TableParagraph"/>
              <w:spacing w:line="247" w:lineRule="auto" w:before="99"/>
              <w:ind w:left="1250" w:right="1245"/>
              <w:jc w:val="center"/>
              <w:rPr>
                <w:b/>
                <w:sz w:val="15"/>
              </w:rPr>
            </w:pPr>
            <w:r>
              <w:rPr>
                <w:b/>
                <w:color w:val="586670"/>
                <w:w w:val="105"/>
                <w:sz w:val="15"/>
              </w:rPr>
              <w:t>Short-Term Bonus (*)</w:t>
            </w:r>
          </w:p>
          <w:p>
            <w:pPr>
              <w:pStyle w:val="TableParagraph"/>
              <w:spacing w:line="240" w:lineRule="auto" w:before="1"/>
              <w:ind w:left="1250" w:right="1248"/>
              <w:jc w:val="center"/>
              <w:rPr>
                <w:b/>
                <w:sz w:val="15"/>
              </w:rPr>
            </w:pPr>
            <w:r>
              <w:rPr>
                <w:b/>
                <w:color w:val="586670"/>
                <w:w w:val="105"/>
                <w:sz w:val="15"/>
              </w:rPr>
              <w:t>150% (at target)</w:t>
            </w:r>
          </w:p>
        </w:tc>
        <w:tc>
          <w:tcPr>
            <w:tcW w:w="226" w:type="dxa"/>
          </w:tcPr>
          <w:p>
            <w:pPr>
              <w:pStyle w:val="TableParagraph"/>
              <w:spacing w:line="240" w:lineRule="auto" w:before="0"/>
              <w:rPr>
                <w:rFonts w:ascii="Times New Roman"/>
                <w:sz w:val="16"/>
              </w:rPr>
            </w:pPr>
          </w:p>
        </w:tc>
        <w:tc>
          <w:tcPr>
            <w:tcW w:w="3727" w:type="dxa"/>
            <w:shd w:val="clear" w:color="auto" w:fill="586670"/>
          </w:tcPr>
          <w:p>
            <w:pPr>
              <w:pStyle w:val="TableParagraph"/>
              <w:spacing w:line="247" w:lineRule="auto" w:before="99"/>
              <w:ind w:left="1204" w:right="1196"/>
              <w:jc w:val="center"/>
              <w:rPr>
                <w:b/>
                <w:sz w:val="15"/>
              </w:rPr>
            </w:pPr>
            <w:r>
              <w:rPr>
                <w:b/>
                <w:color w:val="FFFFFF"/>
                <w:w w:val="105"/>
                <w:sz w:val="15"/>
              </w:rPr>
              <w:t>Long-Term Incentives (PSUP) 150%</w:t>
            </w:r>
          </w:p>
        </w:tc>
      </w:tr>
    </w:tbl>
    <w:p>
      <w:pPr>
        <w:spacing w:before="129"/>
        <w:ind w:left="106" w:right="0" w:firstLine="0"/>
        <w:jc w:val="left"/>
        <w:rPr>
          <w:sz w:val="13"/>
        </w:rPr>
      </w:pPr>
      <w:r>
        <w:rPr>
          <w:color w:val="586670"/>
          <w:sz w:val="13"/>
        </w:rPr>
        <w:t>(*) payable between 50% and 100% in Nestlé S.A. shares with a three-year blocking period</w:t>
      </w:r>
    </w:p>
    <w:p>
      <w:pPr>
        <w:pStyle w:val="BodyText"/>
        <w:spacing w:before="9"/>
        <w:rPr>
          <w:sz w:val="14"/>
        </w:rPr>
      </w:pPr>
      <w:r>
        <w:rPr/>
        <w:pict>
          <v:line style="position:absolute;mso-position-horizontal-relative:page;mso-position-vertical-relative:paragraph;z-index:1592;mso-wrap-distance-left:0;mso-wrap-distance-right:0" from="28.3465pt,10.692636pt" to="544.252500pt,10.692636pt" stroked="true" strokeweight=".25pt" strokecolor="#231f20">
            <v:stroke dashstyle="solid"/>
            <w10:wrap type="topAndBottom"/>
          </v:line>
        </w:pict>
      </w:r>
    </w:p>
    <w:p>
      <w:pPr>
        <w:spacing w:before="64"/>
        <w:ind w:left="106" w:right="0" w:firstLine="0"/>
        <w:jc w:val="left"/>
        <w:rPr>
          <w:b/>
          <w:sz w:val="15"/>
        </w:rPr>
      </w:pPr>
      <w:r>
        <w:rPr>
          <w:b/>
          <w:color w:val="231F20"/>
          <w:w w:val="105"/>
          <w:sz w:val="15"/>
        </w:rPr>
        <w:t>Executive Vice Presidents</w:t>
      </w:r>
    </w:p>
    <w:p>
      <w:pPr>
        <w:pStyle w:val="BodyText"/>
        <w:spacing w:before="11"/>
        <w:rPr>
          <w:b/>
          <w:sz w:val="19"/>
        </w:rPr>
      </w:pPr>
      <w:r>
        <w:rPr/>
        <w:pict>
          <v:shape style="position:absolute;margin-left:28.346001pt;margin-top:12.801504pt;width:120.5pt;height:36pt;mso-position-horizontal-relative:page;mso-position-vertical-relative:paragraph;z-index:1616;mso-wrap-distance-left:0;mso-wrap-distance-right:0" type="#_x0000_t202" filled="true" fillcolor="#f6f6f7" stroked="false">
            <v:textbox inset="0,0,0,0">
              <w:txbxContent>
                <w:p>
                  <w:pPr>
                    <w:spacing w:line="247" w:lineRule="auto" w:before="99"/>
                    <w:ind w:left="992" w:right="762" w:hanging="220"/>
                    <w:jc w:val="left"/>
                    <w:rPr>
                      <w:b/>
                      <w:sz w:val="15"/>
                    </w:rPr>
                  </w:pPr>
                  <w:r>
                    <w:rPr>
                      <w:b/>
                      <w:color w:val="586670"/>
                      <w:w w:val="110"/>
                      <w:sz w:val="15"/>
                    </w:rPr>
                    <w:t>Base salary 100%</w:t>
                  </w:r>
                </w:p>
              </w:txbxContent>
            </v:textbox>
            <v:fill type="solid"/>
            <w10:wrap type="topAndBottom"/>
          </v:shape>
        </w:pict>
      </w:r>
      <w:r>
        <w:rPr/>
        <w:pict>
          <v:shape style="position:absolute;margin-left:160.156998pt;margin-top:12.801504pt;width:120.5pt;height:36pt;mso-position-horizontal-relative:page;mso-position-vertical-relative:paragraph;z-index:1640;mso-wrap-distance-left:0;mso-wrap-distance-right:0" type="#_x0000_t202" filled="true" fillcolor="#e6e8e9" stroked="false">
            <v:textbox inset="0,0,0,0">
              <w:txbxContent>
                <w:p>
                  <w:pPr>
                    <w:spacing w:line="247" w:lineRule="auto" w:before="99"/>
                    <w:ind w:left="591" w:right="589" w:firstLine="0"/>
                    <w:jc w:val="center"/>
                    <w:rPr>
                      <w:b/>
                      <w:sz w:val="15"/>
                    </w:rPr>
                  </w:pPr>
                  <w:r>
                    <w:rPr>
                      <w:b/>
                      <w:color w:val="586670"/>
                      <w:w w:val="105"/>
                      <w:sz w:val="15"/>
                    </w:rPr>
                    <w:t>Short-Term Bonus (*)</w:t>
                  </w:r>
                </w:p>
                <w:p>
                  <w:pPr>
                    <w:spacing w:before="1"/>
                    <w:ind w:left="591" w:right="591" w:firstLine="0"/>
                    <w:jc w:val="center"/>
                    <w:rPr>
                      <w:b/>
                      <w:sz w:val="15"/>
                    </w:rPr>
                  </w:pPr>
                  <w:r>
                    <w:rPr>
                      <w:b/>
                      <w:color w:val="586670"/>
                      <w:w w:val="105"/>
                      <w:sz w:val="15"/>
                    </w:rPr>
                    <w:t>100% (at target)</w:t>
                  </w:r>
                </w:p>
              </w:txbxContent>
            </v:textbox>
            <v:fill type="solid"/>
            <w10:wrap type="topAndBottom"/>
          </v:shape>
        </w:pict>
      </w:r>
      <w:r>
        <w:rPr/>
        <w:pict>
          <v:shape style="position:absolute;margin-left:291.967987pt;margin-top:12.801504pt;width:120.5pt;height:36pt;mso-position-horizontal-relative:page;mso-position-vertical-relative:paragraph;z-index:1664;mso-wrap-distance-left:0;mso-wrap-distance-right:0" type="#_x0000_t202" filled="true" fillcolor="#586670" stroked="false">
            <v:textbox inset="0,0,0,0">
              <w:txbxContent>
                <w:p>
                  <w:pPr>
                    <w:spacing w:line="247" w:lineRule="auto" w:before="99"/>
                    <w:ind w:left="542" w:right="540" w:firstLine="0"/>
                    <w:jc w:val="center"/>
                    <w:rPr>
                      <w:b/>
                      <w:sz w:val="15"/>
                    </w:rPr>
                  </w:pPr>
                  <w:r>
                    <w:rPr>
                      <w:b/>
                      <w:color w:val="FFFFFF"/>
                      <w:w w:val="105"/>
                      <w:sz w:val="15"/>
                    </w:rPr>
                    <w:t>Long-Term Incentives (PSUP) 100%</w:t>
                  </w:r>
                </w:p>
              </w:txbxContent>
            </v:textbox>
            <v:fill type="solid"/>
            <w10:wrap type="topAndBottom"/>
          </v:shape>
        </w:pict>
      </w:r>
    </w:p>
    <w:p>
      <w:pPr>
        <w:spacing w:before="54"/>
        <w:ind w:left="106" w:right="0" w:firstLine="0"/>
        <w:jc w:val="left"/>
        <w:rPr>
          <w:sz w:val="13"/>
        </w:rPr>
      </w:pPr>
      <w:r>
        <w:rPr>
          <w:color w:val="586670"/>
          <w:w w:val="105"/>
          <w:sz w:val="13"/>
        </w:rPr>
        <w:t>(*) payable between 0% and 100% in Nestlé S.A. shares with a three-year blocking period</w:t>
      </w:r>
    </w:p>
    <w:p>
      <w:pPr>
        <w:pStyle w:val="BodyText"/>
        <w:spacing w:before="9"/>
        <w:rPr>
          <w:sz w:val="14"/>
        </w:rPr>
      </w:pPr>
      <w:r>
        <w:rPr/>
        <w:pict>
          <v:line style="position:absolute;mso-position-horizontal-relative:page;mso-position-vertical-relative:paragraph;z-index:1688;mso-wrap-distance-left:0;mso-wrap-distance-right:0" from="28.3465pt,10.692636pt" to="544.252500pt,10.692636pt" stroked="true" strokeweight=".25pt" strokecolor="#231f20">
            <v:stroke dashstyle="solid"/>
            <w10:wrap type="topAndBottom"/>
          </v:line>
        </w:pict>
      </w:r>
    </w:p>
    <w:p>
      <w:pPr>
        <w:pStyle w:val="BodyText"/>
        <w:rPr>
          <w:sz w:val="14"/>
        </w:rPr>
      </w:pPr>
    </w:p>
    <w:p>
      <w:pPr>
        <w:pStyle w:val="BodyText"/>
        <w:spacing w:before="114"/>
        <w:ind w:left="106"/>
      </w:pPr>
      <w:r>
        <w:rPr>
          <w:color w:val="231F20"/>
          <w:w w:val="105"/>
        </w:rPr>
        <w:t>Maximum payout:</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Short-Term</w:t>
      </w:r>
      <w:r>
        <w:rPr>
          <w:color w:val="231F20"/>
          <w:spacing w:val="-11"/>
          <w:w w:val="105"/>
          <w:sz w:val="18"/>
        </w:rPr>
        <w:t> </w:t>
      </w:r>
      <w:r>
        <w:rPr>
          <w:color w:val="231F20"/>
          <w:w w:val="105"/>
          <w:sz w:val="18"/>
        </w:rPr>
        <w:t>Bonus:</w:t>
      </w:r>
      <w:r>
        <w:rPr>
          <w:color w:val="231F20"/>
          <w:spacing w:val="-11"/>
          <w:w w:val="105"/>
          <w:sz w:val="18"/>
        </w:rPr>
        <w:t> </w:t>
      </w:r>
      <w:r>
        <w:rPr>
          <w:color w:val="231F20"/>
          <w:w w:val="105"/>
          <w:sz w:val="18"/>
        </w:rPr>
        <w:t>capped</w:t>
      </w:r>
      <w:r>
        <w:rPr>
          <w:color w:val="231F20"/>
          <w:spacing w:val="-11"/>
          <w:w w:val="105"/>
          <w:sz w:val="18"/>
        </w:rPr>
        <w:t> </w:t>
      </w:r>
      <w:r>
        <w:rPr>
          <w:color w:val="231F20"/>
          <w:w w:val="105"/>
          <w:sz w:val="18"/>
        </w:rPr>
        <w:t>at</w:t>
      </w:r>
      <w:r>
        <w:rPr>
          <w:color w:val="231F20"/>
          <w:spacing w:val="-11"/>
          <w:w w:val="105"/>
          <w:sz w:val="18"/>
        </w:rPr>
        <w:t> </w:t>
      </w:r>
      <w:r>
        <w:rPr>
          <w:color w:val="231F20"/>
          <w:w w:val="105"/>
          <w:sz w:val="18"/>
        </w:rPr>
        <w:t>130%</w:t>
      </w:r>
      <w:r>
        <w:rPr>
          <w:color w:val="231F20"/>
          <w:spacing w:val="-11"/>
          <w:w w:val="105"/>
          <w:sz w:val="18"/>
        </w:rPr>
        <w:t> </w:t>
      </w:r>
      <w:r>
        <w:rPr>
          <w:color w:val="231F20"/>
          <w:w w:val="105"/>
          <w:sz w:val="18"/>
        </w:rPr>
        <w:t>of</w:t>
      </w:r>
      <w:r>
        <w:rPr>
          <w:color w:val="231F20"/>
          <w:spacing w:val="-11"/>
          <w:w w:val="105"/>
          <w:sz w:val="18"/>
        </w:rPr>
        <w:t> </w:t>
      </w:r>
      <w:r>
        <w:rPr>
          <w:color w:val="231F20"/>
          <w:w w:val="105"/>
          <w:sz w:val="18"/>
        </w:rPr>
        <w:t>the</w:t>
      </w:r>
      <w:r>
        <w:rPr>
          <w:color w:val="231F20"/>
          <w:spacing w:val="-11"/>
          <w:w w:val="105"/>
          <w:sz w:val="18"/>
        </w:rPr>
        <w:t> </w:t>
      </w:r>
      <w:r>
        <w:rPr>
          <w:color w:val="231F20"/>
          <w:w w:val="105"/>
          <w:sz w:val="18"/>
        </w:rPr>
        <w:t>target;</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PSUP:</w:t>
      </w:r>
      <w:r>
        <w:rPr>
          <w:color w:val="231F20"/>
          <w:spacing w:val="-11"/>
          <w:w w:val="105"/>
          <w:sz w:val="18"/>
        </w:rPr>
        <w:t> </w:t>
      </w:r>
      <w:r>
        <w:rPr>
          <w:color w:val="231F20"/>
          <w:w w:val="105"/>
          <w:sz w:val="18"/>
        </w:rPr>
        <w:t>vesting</w:t>
      </w:r>
      <w:r>
        <w:rPr>
          <w:color w:val="231F20"/>
          <w:spacing w:val="-10"/>
          <w:w w:val="105"/>
          <w:sz w:val="18"/>
        </w:rPr>
        <w:t> </w:t>
      </w:r>
      <w:r>
        <w:rPr>
          <w:color w:val="231F20"/>
          <w:w w:val="105"/>
          <w:sz w:val="18"/>
        </w:rPr>
        <w:t>range</w:t>
      </w:r>
      <w:r>
        <w:rPr>
          <w:color w:val="231F20"/>
          <w:spacing w:val="-10"/>
          <w:w w:val="105"/>
          <w:sz w:val="18"/>
        </w:rPr>
        <w:t> </w:t>
      </w:r>
      <w:r>
        <w:rPr>
          <w:color w:val="231F20"/>
          <w:w w:val="105"/>
          <w:sz w:val="18"/>
        </w:rPr>
        <w:t>from</w:t>
      </w:r>
      <w:r>
        <w:rPr>
          <w:color w:val="231F20"/>
          <w:spacing w:val="-10"/>
          <w:w w:val="105"/>
          <w:sz w:val="18"/>
        </w:rPr>
        <w:t> </w:t>
      </w:r>
      <w:r>
        <w:rPr>
          <w:color w:val="231F20"/>
          <w:w w:val="105"/>
          <w:sz w:val="18"/>
        </w:rPr>
        <w:t>0%</w:t>
      </w:r>
      <w:r>
        <w:rPr>
          <w:color w:val="231F20"/>
          <w:spacing w:val="-10"/>
          <w:w w:val="105"/>
          <w:sz w:val="18"/>
        </w:rPr>
        <w:t> </w:t>
      </w:r>
      <w:r>
        <w:rPr>
          <w:color w:val="231F20"/>
          <w:w w:val="105"/>
          <w:sz w:val="18"/>
        </w:rPr>
        <w:t>to</w:t>
      </w:r>
      <w:r>
        <w:rPr>
          <w:color w:val="231F20"/>
          <w:spacing w:val="-10"/>
          <w:w w:val="105"/>
          <w:sz w:val="18"/>
        </w:rPr>
        <w:t> </w:t>
      </w:r>
      <w:r>
        <w:rPr>
          <w:color w:val="231F20"/>
          <w:w w:val="105"/>
          <w:sz w:val="18"/>
        </w:rPr>
        <w:t>200%</w:t>
      </w:r>
      <w:r>
        <w:rPr>
          <w:color w:val="231F20"/>
          <w:spacing w:val="-10"/>
          <w:w w:val="105"/>
          <w:sz w:val="18"/>
        </w:rPr>
        <w:t> </w:t>
      </w:r>
      <w:r>
        <w:rPr>
          <w:color w:val="231F20"/>
          <w:w w:val="105"/>
          <w:sz w:val="18"/>
        </w:rPr>
        <w:t>of</w:t>
      </w:r>
      <w:r>
        <w:rPr>
          <w:color w:val="231F20"/>
          <w:spacing w:val="-10"/>
          <w:w w:val="105"/>
          <w:sz w:val="18"/>
        </w:rPr>
        <w:t> </w:t>
      </w:r>
      <w:r>
        <w:rPr>
          <w:color w:val="231F20"/>
          <w:w w:val="105"/>
          <w:sz w:val="18"/>
        </w:rPr>
        <w:t>the</w:t>
      </w:r>
      <w:r>
        <w:rPr>
          <w:color w:val="231F20"/>
          <w:spacing w:val="-10"/>
          <w:w w:val="105"/>
          <w:sz w:val="18"/>
        </w:rPr>
        <w:t> </w:t>
      </w:r>
      <w:r>
        <w:rPr>
          <w:color w:val="231F20"/>
          <w:w w:val="105"/>
          <w:sz w:val="18"/>
        </w:rPr>
        <w:t>initial</w:t>
      </w:r>
      <w:r>
        <w:rPr>
          <w:color w:val="231F20"/>
          <w:spacing w:val="-10"/>
          <w:w w:val="105"/>
          <w:sz w:val="18"/>
        </w:rPr>
        <w:t> </w:t>
      </w:r>
      <w:r>
        <w:rPr>
          <w:color w:val="231F20"/>
          <w:w w:val="105"/>
          <w:sz w:val="18"/>
        </w:rPr>
        <w:t>PSU</w:t>
      </w:r>
      <w:r>
        <w:rPr>
          <w:color w:val="231F20"/>
          <w:spacing w:val="-10"/>
          <w:w w:val="105"/>
          <w:sz w:val="18"/>
        </w:rPr>
        <w:t> </w:t>
      </w:r>
      <w:r>
        <w:rPr>
          <w:color w:val="231F20"/>
          <w:w w:val="105"/>
          <w:sz w:val="18"/>
        </w:rPr>
        <w:t>award.</w:t>
      </w:r>
    </w:p>
    <w:p>
      <w:pPr>
        <w:spacing w:after="0" w:line="240" w:lineRule="auto"/>
        <w:jc w:val="left"/>
        <w:rPr>
          <w:sz w:val="18"/>
        </w:rPr>
        <w:sectPr>
          <w:pgSz w:w="11910" w:h="14750"/>
          <w:pgMar w:header="642" w:footer="509" w:top="840" w:bottom="700" w:left="460" w:right="460"/>
        </w:sectPr>
      </w:pPr>
    </w:p>
    <w:p>
      <w:pPr>
        <w:pStyle w:val="BodyText"/>
        <w:rPr>
          <w:sz w:val="20"/>
        </w:rPr>
      </w:pPr>
    </w:p>
    <w:p>
      <w:pPr>
        <w:pStyle w:val="BodyText"/>
        <w:rPr>
          <w:sz w:val="20"/>
        </w:rPr>
      </w:pPr>
    </w:p>
    <w:p>
      <w:pPr>
        <w:pStyle w:val="BodyText"/>
        <w:spacing w:before="11"/>
        <w:rPr>
          <w:sz w:val="15"/>
        </w:rPr>
      </w:pPr>
    </w:p>
    <w:p>
      <w:pPr>
        <w:pStyle w:val="ListParagraph"/>
        <w:numPr>
          <w:ilvl w:val="0"/>
          <w:numId w:val="21"/>
        </w:numPr>
        <w:tabs>
          <w:tab w:pos="788" w:val="left" w:leader="none"/>
        </w:tabs>
        <w:spacing w:line="240" w:lineRule="auto" w:before="106" w:after="0"/>
        <w:ind w:left="787" w:right="0" w:hanging="227"/>
        <w:jc w:val="left"/>
        <w:rPr>
          <w:sz w:val="18"/>
        </w:rPr>
      </w:pPr>
      <w:bookmarkStart w:name="Benchmarks of Executive Board compensati" w:id="26"/>
      <w:bookmarkEnd w:id="26"/>
      <w:r>
        <w:rPr/>
      </w:r>
      <w:bookmarkStart w:name="Share ownership policy" w:id="27"/>
      <w:bookmarkEnd w:id="27"/>
      <w:r>
        <w:rPr/>
      </w:r>
      <w:bookmarkStart w:name="Loans" w:id="28"/>
      <w:bookmarkEnd w:id="28"/>
      <w:r>
        <w:rPr/>
      </w:r>
      <w:bookmarkStart w:name="Contracts of employment and severance pa" w:id="29"/>
      <w:bookmarkEnd w:id="29"/>
      <w:r>
        <w:rPr/>
      </w:r>
      <w:bookmarkStart w:name="Benchmarks" w:id="30"/>
      <w:bookmarkEnd w:id="30"/>
      <w:r>
        <w:rPr/>
      </w:r>
      <w:bookmarkStart w:name="Benchmarks" w:id="31"/>
      <w:bookmarkEnd w:id="31"/>
      <w:r>
        <w:rPr>
          <w:color w:val="586670"/>
          <w:sz w:val="18"/>
        </w:rPr>
        <w:t>O</w:t>
      </w:r>
      <w:r>
        <w:rPr>
          <w:color w:val="586670"/>
          <w:sz w:val="18"/>
        </w:rPr>
        <w:t>ther</w:t>
      </w:r>
      <w:r>
        <w:rPr>
          <w:color w:val="586670"/>
          <w:spacing w:val="-8"/>
          <w:sz w:val="18"/>
        </w:rPr>
        <w:t> </w:t>
      </w:r>
      <w:r>
        <w:rPr>
          <w:color w:val="586670"/>
          <w:sz w:val="18"/>
        </w:rPr>
        <w:t>benefits</w:t>
      </w:r>
    </w:p>
    <w:p>
      <w:pPr>
        <w:pStyle w:val="BodyText"/>
        <w:spacing w:line="276" w:lineRule="auto" w:before="31"/>
        <w:ind w:left="560" w:right="1313"/>
      </w:pPr>
      <w:r>
        <w:rPr>
          <w:color w:val="231F20"/>
        </w:rPr>
        <w:t>The Company limits other benefits to a minimum. Typical elements are a car allowance (there are no Company cars provided to the members of the Executive Board), a contribution towards health insurance premiums  (below CHF 4 </w:t>
      </w:r>
      <w:r>
        <w:rPr>
          <w:color w:val="231F20"/>
          <w:spacing w:val="2"/>
        </w:rPr>
        <w:t>000 </w:t>
      </w:r>
      <w:r>
        <w:rPr>
          <w:color w:val="231F20"/>
        </w:rPr>
        <w:t>per annum) as well as long-term service awards related to the 25 and 40 years of service to  the</w:t>
      </w:r>
      <w:r>
        <w:rPr>
          <w:color w:val="231F20"/>
          <w:spacing w:val="10"/>
        </w:rPr>
        <w:t> </w:t>
      </w:r>
      <w:r>
        <w:rPr>
          <w:color w:val="231F20"/>
        </w:rPr>
        <w:t>Company,</w:t>
      </w:r>
      <w:r>
        <w:rPr>
          <w:color w:val="231F20"/>
          <w:spacing w:val="11"/>
        </w:rPr>
        <w:t> </w:t>
      </w:r>
      <w:r>
        <w:rPr>
          <w:color w:val="231F20"/>
        </w:rPr>
        <w:t>in</w:t>
      </w:r>
      <w:r>
        <w:rPr>
          <w:color w:val="231F20"/>
          <w:spacing w:val="11"/>
        </w:rPr>
        <w:t> </w:t>
      </w:r>
      <w:r>
        <w:rPr>
          <w:color w:val="231F20"/>
        </w:rPr>
        <w:t>line</w:t>
      </w:r>
      <w:r>
        <w:rPr>
          <w:color w:val="231F20"/>
          <w:spacing w:val="11"/>
        </w:rPr>
        <w:t> </w:t>
      </w:r>
      <w:r>
        <w:rPr>
          <w:color w:val="231F20"/>
        </w:rPr>
        <w:t>with</w:t>
      </w:r>
      <w:r>
        <w:rPr>
          <w:color w:val="231F20"/>
          <w:spacing w:val="11"/>
        </w:rPr>
        <w:t> </w:t>
      </w:r>
      <w:r>
        <w:rPr>
          <w:color w:val="231F20"/>
        </w:rPr>
        <w:t>Company</w:t>
      </w:r>
      <w:r>
        <w:rPr>
          <w:color w:val="231F20"/>
          <w:spacing w:val="11"/>
        </w:rPr>
        <w:t> </w:t>
      </w:r>
      <w:r>
        <w:rPr>
          <w:color w:val="231F20"/>
        </w:rPr>
        <w:t>policy,</w:t>
      </w:r>
      <w:r>
        <w:rPr>
          <w:color w:val="231F20"/>
          <w:spacing w:val="11"/>
        </w:rPr>
        <w:t> </w:t>
      </w:r>
      <w:r>
        <w:rPr>
          <w:color w:val="231F20"/>
        </w:rPr>
        <w:t>as</w:t>
      </w:r>
      <w:r>
        <w:rPr>
          <w:color w:val="231F20"/>
          <w:spacing w:val="11"/>
        </w:rPr>
        <w:t> </w:t>
      </w:r>
      <w:r>
        <w:rPr>
          <w:color w:val="231F20"/>
        </w:rPr>
        <w:t>offered</w:t>
      </w:r>
      <w:r>
        <w:rPr>
          <w:color w:val="231F20"/>
          <w:spacing w:val="11"/>
        </w:rPr>
        <w:t> </w:t>
      </w:r>
      <w:r>
        <w:rPr>
          <w:color w:val="231F20"/>
        </w:rPr>
        <w:t>to</w:t>
      </w:r>
      <w:r>
        <w:rPr>
          <w:color w:val="231F20"/>
          <w:spacing w:val="11"/>
        </w:rPr>
        <w:t> </w:t>
      </w:r>
      <w:r>
        <w:rPr>
          <w:color w:val="231F20"/>
        </w:rPr>
        <w:t>other</w:t>
      </w:r>
      <w:r>
        <w:rPr>
          <w:color w:val="231F20"/>
          <w:spacing w:val="11"/>
        </w:rPr>
        <w:t> </w:t>
      </w:r>
      <w:r>
        <w:rPr>
          <w:color w:val="231F20"/>
        </w:rPr>
        <w:t>employees.</w:t>
      </w:r>
      <w:r>
        <w:rPr>
          <w:color w:val="231F20"/>
          <w:spacing w:val="11"/>
        </w:rPr>
        <w:t> </w:t>
      </w:r>
      <w:r>
        <w:rPr>
          <w:color w:val="231F20"/>
        </w:rPr>
        <w:t>Those</w:t>
      </w:r>
      <w:r>
        <w:rPr>
          <w:color w:val="231F20"/>
          <w:spacing w:val="11"/>
        </w:rPr>
        <w:t> </w:t>
      </w:r>
      <w:r>
        <w:rPr>
          <w:color w:val="231F20"/>
        </w:rPr>
        <w:t>Executive</w:t>
      </w:r>
      <w:r>
        <w:rPr>
          <w:color w:val="231F20"/>
          <w:spacing w:val="11"/>
        </w:rPr>
        <w:t> </w:t>
      </w:r>
      <w:r>
        <w:rPr>
          <w:color w:val="231F20"/>
        </w:rPr>
        <w:t>Board</w:t>
      </w:r>
      <w:r>
        <w:rPr>
          <w:color w:val="231F20"/>
          <w:spacing w:val="11"/>
        </w:rPr>
        <w:t> </w:t>
      </w:r>
      <w:r>
        <w:rPr>
          <w:color w:val="231F20"/>
        </w:rPr>
        <w:t>members</w:t>
      </w:r>
    </w:p>
    <w:p>
      <w:pPr>
        <w:pStyle w:val="BodyText"/>
        <w:spacing w:line="276" w:lineRule="auto"/>
        <w:ind w:left="560" w:right="1085"/>
      </w:pPr>
      <w:r>
        <w:rPr>
          <w:color w:val="231F20"/>
        </w:rPr>
        <w:t>who have been transferred to Switzerland from other Nestlé locations can receive benefits in line with the Nestlé Corporate Expatriation Policy.</w:t>
      </w:r>
    </w:p>
    <w:p>
      <w:pPr>
        <w:pStyle w:val="BodyText"/>
        <w:spacing w:before="6"/>
        <w:rPr>
          <w:sz w:val="20"/>
        </w:rPr>
      </w:pPr>
    </w:p>
    <w:p>
      <w:pPr>
        <w:pStyle w:val="ListParagraph"/>
        <w:numPr>
          <w:ilvl w:val="0"/>
          <w:numId w:val="21"/>
        </w:numPr>
        <w:tabs>
          <w:tab w:pos="788" w:val="left" w:leader="none"/>
        </w:tabs>
        <w:spacing w:line="240" w:lineRule="auto" w:before="0" w:after="0"/>
        <w:ind w:left="787" w:right="0" w:hanging="227"/>
        <w:jc w:val="left"/>
        <w:rPr>
          <w:sz w:val="18"/>
        </w:rPr>
      </w:pPr>
      <w:r>
        <w:rPr>
          <w:color w:val="586670"/>
          <w:w w:val="105"/>
          <w:sz w:val="18"/>
        </w:rPr>
        <w:t>Pension</w:t>
      </w:r>
      <w:r>
        <w:rPr>
          <w:color w:val="586670"/>
          <w:spacing w:val="-11"/>
          <w:w w:val="105"/>
          <w:sz w:val="18"/>
        </w:rPr>
        <w:t> </w:t>
      </w:r>
      <w:r>
        <w:rPr>
          <w:color w:val="586670"/>
          <w:w w:val="105"/>
          <w:sz w:val="18"/>
        </w:rPr>
        <w:t>benefits</w:t>
      </w:r>
    </w:p>
    <w:p>
      <w:pPr>
        <w:pStyle w:val="BodyText"/>
        <w:spacing w:line="276" w:lineRule="auto" w:before="31"/>
        <w:ind w:left="560" w:right="1227"/>
      </w:pPr>
      <w:r>
        <w:rPr>
          <w:color w:val="231F20"/>
        </w:rPr>
        <w:t>Executive Board members domiciled in Switzerland are affiliated to the Nestlé Pension Plan in Switzerland like    all other employees. The Plan was changed from a defined contribution plan with a retirement pension objective to a pure defined contribution plan during </w:t>
      </w:r>
      <w:r>
        <w:rPr>
          <w:color w:val="231F20"/>
          <w:spacing w:val="-4"/>
        </w:rPr>
        <w:t>2013. </w:t>
      </w:r>
      <w:r>
        <w:rPr>
          <w:color w:val="231F20"/>
        </w:rPr>
        <w:t>Beneficiaries of the Plan born in 1958 or before maintain their membership in the former</w:t>
      </w:r>
      <w:r>
        <w:rPr>
          <w:color w:val="231F20"/>
          <w:spacing w:val="-11"/>
        </w:rPr>
        <w:t> </w:t>
      </w:r>
      <w:r>
        <w:rPr>
          <w:color w:val="231F20"/>
        </w:rPr>
        <w:t>plan.</w:t>
      </w:r>
    </w:p>
    <w:p>
      <w:pPr>
        <w:pStyle w:val="BodyText"/>
        <w:spacing w:line="276" w:lineRule="auto"/>
        <w:ind w:left="560" w:right="1085" w:firstLine="226"/>
      </w:pPr>
      <w:r>
        <w:rPr>
          <w:color w:val="231F20"/>
          <w:w w:val="105"/>
        </w:rPr>
        <w:t>Pensionable</w:t>
      </w:r>
      <w:r>
        <w:rPr>
          <w:color w:val="231F20"/>
          <w:spacing w:val="-12"/>
          <w:w w:val="105"/>
        </w:rPr>
        <w:t> </w:t>
      </w:r>
      <w:r>
        <w:rPr>
          <w:color w:val="231F20"/>
          <w:w w:val="105"/>
        </w:rPr>
        <w:t>earnings</w:t>
      </w:r>
      <w:r>
        <w:rPr>
          <w:color w:val="231F20"/>
          <w:spacing w:val="-12"/>
          <w:w w:val="105"/>
        </w:rPr>
        <w:t> </w:t>
      </w:r>
      <w:r>
        <w:rPr>
          <w:color w:val="231F20"/>
          <w:w w:val="105"/>
        </w:rPr>
        <w:t>include</w:t>
      </w:r>
      <w:r>
        <w:rPr>
          <w:color w:val="231F20"/>
          <w:spacing w:val="-12"/>
          <w:w w:val="105"/>
        </w:rPr>
        <w:t> </w:t>
      </w:r>
      <w:r>
        <w:rPr>
          <w:color w:val="231F20"/>
          <w:w w:val="105"/>
        </w:rPr>
        <w:t>the</w:t>
      </w:r>
      <w:r>
        <w:rPr>
          <w:color w:val="231F20"/>
          <w:spacing w:val="-12"/>
          <w:w w:val="105"/>
        </w:rPr>
        <w:t> </w:t>
      </w:r>
      <w:r>
        <w:rPr>
          <w:color w:val="231F20"/>
          <w:w w:val="105"/>
        </w:rPr>
        <w:t>Annual</w:t>
      </w:r>
      <w:r>
        <w:rPr>
          <w:color w:val="231F20"/>
          <w:spacing w:val="-12"/>
          <w:w w:val="105"/>
        </w:rPr>
        <w:t> </w:t>
      </w:r>
      <w:r>
        <w:rPr>
          <w:color w:val="231F20"/>
          <w:w w:val="105"/>
        </w:rPr>
        <w:t>Base</w:t>
      </w:r>
      <w:r>
        <w:rPr>
          <w:color w:val="231F20"/>
          <w:spacing w:val="-12"/>
          <w:w w:val="105"/>
        </w:rPr>
        <w:t> </w:t>
      </w:r>
      <w:r>
        <w:rPr>
          <w:color w:val="231F20"/>
          <w:w w:val="105"/>
        </w:rPr>
        <w:t>Salary,</w:t>
      </w:r>
      <w:r>
        <w:rPr>
          <w:color w:val="231F20"/>
          <w:spacing w:val="-12"/>
          <w:w w:val="105"/>
        </w:rPr>
        <w:t> </w:t>
      </w:r>
      <w:r>
        <w:rPr>
          <w:color w:val="231F20"/>
          <w:w w:val="105"/>
        </w:rPr>
        <w:t>but</w:t>
      </w:r>
      <w:r>
        <w:rPr>
          <w:color w:val="231F20"/>
          <w:spacing w:val="-12"/>
          <w:w w:val="105"/>
        </w:rPr>
        <w:t> </w:t>
      </w:r>
      <w:r>
        <w:rPr>
          <w:color w:val="231F20"/>
          <w:w w:val="105"/>
        </w:rPr>
        <w:t>not</w:t>
      </w:r>
      <w:r>
        <w:rPr>
          <w:color w:val="231F20"/>
          <w:spacing w:val="-12"/>
          <w:w w:val="105"/>
        </w:rPr>
        <w:t> </w:t>
      </w:r>
      <w:r>
        <w:rPr>
          <w:color w:val="231F20"/>
          <w:w w:val="105"/>
        </w:rPr>
        <w:t>the</w:t>
      </w:r>
      <w:r>
        <w:rPr>
          <w:color w:val="231F20"/>
          <w:spacing w:val="-11"/>
          <w:w w:val="105"/>
        </w:rPr>
        <w:t> </w:t>
      </w:r>
      <w:r>
        <w:rPr>
          <w:color w:val="231F20"/>
          <w:w w:val="105"/>
        </w:rPr>
        <w:t>variable</w:t>
      </w:r>
      <w:r>
        <w:rPr>
          <w:color w:val="231F20"/>
          <w:spacing w:val="-12"/>
          <w:w w:val="105"/>
        </w:rPr>
        <w:t> </w:t>
      </w:r>
      <w:r>
        <w:rPr>
          <w:color w:val="231F20"/>
          <w:w w:val="105"/>
        </w:rPr>
        <w:t>compensation</w:t>
      </w:r>
      <w:r>
        <w:rPr>
          <w:color w:val="231F20"/>
          <w:spacing w:val="-12"/>
          <w:w w:val="105"/>
        </w:rPr>
        <w:t> </w:t>
      </w:r>
      <w:r>
        <w:rPr>
          <w:color w:val="231F20"/>
          <w:w w:val="105"/>
        </w:rPr>
        <w:t>(Short-Term</w:t>
      </w:r>
      <w:r>
        <w:rPr>
          <w:color w:val="231F20"/>
          <w:spacing w:val="-12"/>
          <w:w w:val="105"/>
        </w:rPr>
        <w:t> </w:t>
      </w:r>
      <w:r>
        <w:rPr>
          <w:color w:val="231F20"/>
          <w:w w:val="105"/>
        </w:rPr>
        <w:t>Bonus or Long-Term Incentives). Any </w:t>
      </w:r>
      <w:r>
        <w:rPr>
          <w:color w:val="231F20"/>
          <w:spacing w:val="2"/>
          <w:w w:val="105"/>
        </w:rPr>
        <w:t>part </w:t>
      </w:r>
      <w:r>
        <w:rPr>
          <w:color w:val="231F20"/>
          <w:w w:val="105"/>
        </w:rPr>
        <w:t>of the Annual Base </w:t>
      </w:r>
      <w:r>
        <w:rPr>
          <w:color w:val="231F20"/>
          <w:spacing w:val="2"/>
          <w:w w:val="105"/>
        </w:rPr>
        <w:t>Salary </w:t>
      </w:r>
      <w:r>
        <w:rPr>
          <w:color w:val="231F20"/>
          <w:w w:val="105"/>
        </w:rPr>
        <w:t>which exceeds the ceiling prescribed by Swiss Pension</w:t>
      </w:r>
      <w:r>
        <w:rPr>
          <w:color w:val="231F20"/>
          <w:spacing w:val="-6"/>
          <w:w w:val="105"/>
        </w:rPr>
        <w:t> </w:t>
      </w:r>
      <w:r>
        <w:rPr>
          <w:color w:val="231F20"/>
          <w:w w:val="105"/>
        </w:rPr>
        <w:t>Law</w:t>
      </w:r>
      <w:r>
        <w:rPr>
          <w:color w:val="231F20"/>
          <w:spacing w:val="-6"/>
          <w:w w:val="105"/>
        </w:rPr>
        <w:t> </w:t>
      </w:r>
      <w:r>
        <w:rPr>
          <w:color w:val="231F20"/>
          <w:w w:val="105"/>
        </w:rPr>
        <w:t>is</w:t>
      </w:r>
      <w:r>
        <w:rPr>
          <w:color w:val="231F20"/>
          <w:spacing w:val="-6"/>
          <w:w w:val="105"/>
        </w:rPr>
        <w:t> </w:t>
      </w:r>
      <w:r>
        <w:rPr>
          <w:color w:val="231F20"/>
          <w:w w:val="105"/>
        </w:rPr>
        <w:t>covered</w:t>
      </w:r>
      <w:r>
        <w:rPr>
          <w:color w:val="231F20"/>
          <w:spacing w:val="-6"/>
          <w:w w:val="105"/>
        </w:rPr>
        <w:t> </w:t>
      </w:r>
      <w:r>
        <w:rPr>
          <w:color w:val="231F20"/>
          <w:w w:val="105"/>
        </w:rPr>
        <w:t>directly</w:t>
      </w:r>
      <w:r>
        <w:rPr>
          <w:color w:val="231F20"/>
          <w:spacing w:val="-6"/>
          <w:w w:val="105"/>
        </w:rPr>
        <w:t> </w:t>
      </w:r>
      <w:r>
        <w:rPr>
          <w:color w:val="231F20"/>
          <w:w w:val="105"/>
        </w:rPr>
        <w:t>by</w:t>
      </w:r>
      <w:r>
        <w:rPr>
          <w:color w:val="231F20"/>
          <w:spacing w:val="-6"/>
          <w:w w:val="105"/>
        </w:rPr>
        <w:t> </w:t>
      </w:r>
      <w:r>
        <w:rPr>
          <w:color w:val="231F20"/>
          <w:w w:val="105"/>
        </w:rPr>
        <w:t>the</w:t>
      </w:r>
      <w:r>
        <w:rPr>
          <w:color w:val="231F20"/>
          <w:spacing w:val="-6"/>
          <w:w w:val="105"/>
        </w:rPr>
        <w:t> </w:t>
      </w:r>
      <w:r>
        <w:rPr>
          <w:color w:val="231F20"/>
          <w:w w:val="105"/>
        </w:rPr>
        <w:t>Company.</w:t>
      </w:r>
    </w:p>
    <w:p>
      <w:pPr>
        <w:pStyle w:val="BodyText"/>
        <w:spacing w:before="5"/>
        <w:rPr>
          <w:sz w:val="20"/>
        </w:rPr>
      </w:pPr>
    </w:p>
    <w:p>
      <w:pPr>
        <w:pStyle w:val="Heading3"/>
      </w:pPr>
      <w:r>
        <w:rPr>
          <w:color w:val="231F20"/>
          <w:w w:val="110"/>
        </w:rPr>
        <w:t>Benchmarks of Executive Board compensation</w:t>
      </w:r>
    </w:p>
    <w:p>
      <w:pPr>
        <w:pStyle w:val="BodyText"/>
        <w:spacing w:before="31"/>
        <w:ind w:left="560"/>
      </w:pPr>
      <w:r>
        <w:rPr>
          <w:color w:val="231F20"/>
          <w:w w:val="105"/>
        </w:rPr>
        <w:t>The Compensation Committee has decided to use the following benchmarks:</w:t>
      </w:r>
    </w:p>
    <w:p>
      <w:pPr>
        <w:pStyle w:val="ListParagraph"/>
        <w:numPr>
          <w:ilvl w:val="0"/>
          <w:numId w:val="23"/>
        </w:numPr>
        <w:tabs>
          <w:tab w:pos="788" w:val="left" w:leader="none"/>
        </w:tabs>
        <w:spacing w:line="276" w:lineRule="auto" w:before="31" w:after="0"/>
        <w:ind w:left="787" w:right="1318" w:hanging="227"/>
        <w:jc w:val="left"/>
        <w:rPr>
          <w:sz w:val="18"/>
        </w:rPr>
      </w:pPr>
      <w:r>
        <w:rPr>
          <w:color w:val="231F20"/>
          <w:sz w:val="18"/>
        </w:rPr>
        <w:t>STOXX Europe 50 index (without financial industry companies): this is the primary benchmark and includes the largest European</w:t>
      </w:r>
      <w:r>
        <w:rPr>
          <w:color w:val="231F20"/>
          <w:spacing w:val="-22"/>
          <w:sz w:val="18"/>
        </w:rPr>
        <w:t> </w:t>
      </w:r>
      <w:r>
        <w:rPr>
          <w:color w:val="231F20"/>
          <w:sz w:val="18"/>
        </w:rPr>
        <w:t>companies;</w:t>
      </w:r>
    </w:p>
    <w:p>
      <w:pPr>
        <w:pStyle w:val="ListParagraph"/>
        <w:numPr>
          <w:ilvl w:val="0"/>
          <w:numId w:val="23"/>
        </w:numPr>
        <w:tabs>
          <w:tab w:pos="788" w:val="left" w:leader="none"/>
        </w:tabs>
        <w:spacing w:line="276" w:lineRule="auto" w:before="0" w:after="0"/>
        <w:ind w:left="787" w:right="1309" w:hanging="227"/>
        <w:jc w:val="left"/>
        <w:rPr>
          <w:sz w:val="18"/>
        </w:rPr>
      </w:pPr>
      <w:r>
        <w:rPr>
          <w:color w:val="231F20"/>
          <w:w w:val="105"/>
          <w:sz w:val="18"/>
        </w:rPr>
        <w:t>European Fast Moving Consumer Goods companies: this is a secondary benchmark and includes large and medium</w:t>
      </w:r>
      <w:r>
        <w:rPr>
          <w:color w:val="231F20"/>
          <w:spacing w:val="-12"/>
          <w:w w:val="105"/>
          <w:sz w:val="18"/>
        </w:rPr>
        <w:t> </w:t>
      </w:r>
      <w:r>
        <w:rPr>
          <w:color w:val="231F20"/>
          <w:w w:val="105"/>
          <w:sz w:val="18"/>
        </w:rPr>
        <w:t>sized</w:t>
      </w:r>
      <w:r>
        <w:rPr>
          <w:color w:val="231F20"/>
          <w:spacing w:val="-12"/>
          <w:w w:val="105"/>
          <w:sz w:val="18"/>
        </w:rPr>
        <w:t> </w:t>
      </w:r>
      <w:r>
        <w:rPr>
          <w:color w:val="231F20"/>
          <w:w w:val="105"/>
          <w:sz w:val="18"/>
        </w:rPr>
        <w:t>European</w:t>
      </w:r>
      <w:r>
        <w:rPr>
          <w:color w:val="231F20"/>
          <w:spacing w:val="-12"/>
          <w:w w:val="105"/>
          <w:sz w:val="18"/>
        </w:rPr>
        <w:t> </w:t>
      </w:r>
      <w:r>
        <w:rPr>
          <w:color w:val="231F20"/>
          <w:w w:val="105"/>
          <w:sz w:val="18"/>
        </w:rPr>
        <w:t>companies</w:t>
      </w:r>
      <w:r>
        <w:rPr>
          <w:color w:val="231F20"/>
          <w:spacing w:val="-12"/>
          <w:w w:val="105"/>
          <w:sz w:val="18"/>
        </w:rPr>
        <w:t> </w:t>
      </w:r>
      <w:r>
        <w:rPr>
          <w:color w:val="231F20"/>
          <w:w w:val="105"/>
          <w:sz w:val="18"/>
        </w:rPr>
        <w:t>which</w:t>
      </w:r>
      <w:r>
        <w:rPr>
          <w:color w:val="231F20"/>
          <w:spacing w:val="-11"/>
          <w:w w:val="105"/>
          <w:sz w:val="18"/>
        </w:rPr>
        <w:t> </w:t>
      </w:r>
      <w:r>
        <w:rPr>
          <w:color w:val="231F20"/>
          <w:w w:val="105"/>
          <w:sz w:val="18"/>
        </w:rPr>
        <w:t>are</w:t>
      </w:r>
      <w:r>
        <w:rPr>
          <w:color w:val="231F20"/>
          <w:spacing w:val="-12"/>
          <w:w w:val="105"/>
          <w:sz w:val="18"/>
        </w:rPr>
        <w:t> </w:t>
      </w:r>
      <w:r>
        <w:rPr>
          <w:color w:val="231F20"/>
          <w:w w:val="105"/>
          <w:sz w:val="18"/>
        </w:rPr>
        <w:t>operating</w:t>
      </w:r>
      <w:r>
        <w:rPr>
          <w:color w:val="231F20"/>
          <w:spacing w:val="-12"/>
          <w:w w:val="105"/>
          <w:sz w:val="18"/>
        </w:rPr>
        <w:t> </w:t>
      </w:r>
      <w:r>
        <w:rPr>
          <w:color w:val="231F20"/>
          <w:w w:val="105"/>
          <w:sz w:val="18"/>
        </w:rPr>
        <w:t>in</w:t>
      </w:r>
      <w:r>
        <w:rPr>
          <w:color w:val="231F20"/>
          <w:spacing w:val="-12"/>
          <w:w w:val="105"/>
          <w:sz w:val="18"/>
        </w:rPr>
        <w:t> </w:t>
      </w:r>
      <w:r>
        <w:rPr>
          <w:color w:val="231F20"/>
          <w:w w:val="105"/>
          <w:sz w:val="18"/>
        </w:rPr>
        <w:t>the</w:t>
      </w:r>
      <w:r>
        <w:rPr>
          <w:color w:val="231F20"/>
          <w:spacing w:val="-11"/>
          <w:w w:val="105"/>
          <w:sz w:val="18"/>
        </w:rPr>
        <w:t> </w:t>
      </w:r>
      <w:r>
        <w:rPr>
          <w:color w:val="231F20"/>
          <w:w w:val="105"/>
          <w:sz w:val="18"/>
        </w:rPr>
        <w:t>same</w:t>
      </w:r>
      <w:r>
        <w:rPr>
          <w:color w:val="231F20"/>
          <w:spacing w:val="-12"/>
          <w:w w:val="105"/>
          <w:sz w:val="18"/>
        </w:rPr>
        <w:t> </w:t>
      </w:r>
      <w:r>
        <w:rPr>
          <w:color w:val="231F20"/>
          <w:w w:val="105"/>
          <w:sz w:val="18"/>
        </w:rPr>
        <w:t>industry</w:t>
      </w:r>
      <w:r>
        <w:rPr>
          <w:color w:val="231F20"/>
          <w:spacing w:val="-12"/>
          <w:w w:val="105"/>
          <w:sz w:val="18"/>
        </w:rPr>
        <w:t> </w:t>
      </w:r>
      <w:r>
        <w:rPr>
          <w:color w:val="231F20"/>
          <w:w w:val="105"/>
          <w:sz w:val="18"/>
        </w:rPr>
        <w:t>sector</w:t>
      </w:r>
      <w:r>
        <w:rPr>
          <w:color w:val="231F20"/>
          <w:spacing w:val="-12"/>
          <w:w w:val="105"/>
          <w:sz w:val="18"/>
        </w:rPr>
        <w:t> </w:t>
      </w:r>
      <w:r>
        <w:rPr>
          <w:color w:val="231F20"/>
          <w:w w:val="105"/>
          <w:sz w:val="18"/>
        </w:rPr>
        <w:t>as</w:t>
      </w:r>
      <w:r>
        <w:rPr>
          <w:color w:val="231F20"/>
          <w:spacing w:val="-11"/>
          <w:w w:val="105"/>
          <w:sz w:val="18"/>
        </w:rPr>
        <w:t> </w:t>
      </w:r>
      <w:r>
        <w:rPr>
          <w:color w:val="231F20"/>
          <w:w w:val="105"/>
          <w:sz w:val="18"/>
        </w:rPr>
        <w:t>Nestlé;</w:t>
      </w:r>
    </w:p>
    <w:p>
      <w:pPr>
        <w:pStyle w:val="ListParagraph"/>
        <w:numPr>
          <w:ilvl w:val="0"/>
          <w:numId w:val="23"/>
        </w:numPr>
        <w:tabs>
          <w:tab w:pos="788" w:val="left" w:leader="none"/>
        </w:tabs>
        <w:spacing w:line="276" w:lineRule="auto" w:before="0" w:after="0"/>
        <w:ind w:left="787" w:right="1325" w:hanging="227"/>
        <w:jc w:val="left"/>
        <w:rPr>
          <w:sz w:val="18"/>
        </w:rPr>
      </w:pPr>
      <w:r>
        <w:rPr>
          <w:color w:val="231F20"/>
          <w:sz w:val="18"/>
        </w:rPr>
        <w:t>Large Swiss Market Index (SMI) companies: as another secondary benchmark this index includes industrial companies which are headquartered in Switzerland and reflects Swiss remuneration</w:t>
      </w:r>
      <w:r>
        <w:rPr>
          <w:color w:val="231F20"/>
          <w:spacing w:val="-2"/>
          <w:sz w:val="18"/>
        </w:rPr>
        <w:t> </w:t>
      </w:r>
      <w:r>
        <w:rPr>
          <w:color w:val="231F20"/>
          <w:sz w:val="18"/>
        </w:rPr>
        <w:t>practices.</w:t>
      </w:r>
    </w:p>
    <w:p>
      <w:pPr>
        <w:pStyle w:val="BodyText"/>
        <w:spacing w:before="6"/>
        <w:rPr>
          <w:sz w:val="20"/>
        </w:rPr>
      </w:pPr>
    </w:p>
    <w:p>
      <w:pPr>
        <w:pStyle w:val="Heading3"/>
      </w:pPr>
      <w:r>
        <w:rPr>
          <w:color w:val="231F20"/>
          <w:w w:val="110"/>
        </w:rPr>
        <w:t>Share ownership policy</w:t>
      </w:r>
    </w:p>
    <w:p>
      <w:pPr>
        <w:pStyle w:val="BodyText"/>
        <w:spacing w:line="276" w:lineRule="auto" w:before="31"/>
        <w:ind w:left="560" w:right="1085"/>
      </w:pPr>
      <w:r>
        <w:rPr>
          <w:color w:val="231F20"/>
        </w:rPr>
        <w:t>The Company encourages share ownership by the members of the Executive Board to ensure alignment with shareholder interests over time.</w:t>
      </w:r>
    </w:p>
    <w:p>
      <w:pPr>
        <w:pStyle w:val="BodyText"/>
        <w:spacing w:before="7"/>
        <w:rPr>
          <w:sz w:val="20"/>
        </w:rPr>
      </w:pPr>
    </w:p>
    <w:p>
      <w:pPr>
        <w:pStyle w:val="Heading3"/>
      </w:pPr>
      <w:r>
        <w:rPr>
          <w:color w:val="231F20"/>
          <w:w w:val="115"/>
        </w:rPr>
        <w:t>Loans</w:t>
      </w:r>
    </w:p>
    <w:p>
      <w:pPr>
        <w:pStyle w:val="BodyText"/>
        <w:spacing w:line="276" w:lineRule="auto" w:before="31"/>
        <w:ind w:left="560" w:right="1085"/>
      </w:pPr>
      <w:r>
        <w:rPr>
          <w:color w:val="231F20"/>
        </w:rPr>
        <w:t>The Company does not, as a rule, grant loans, except that it may provide advances free of interest and generally repayable over a three-year period to members of the Executive Board who have been transferred to Switzerland from other Nestlé locations in line with the Nestlé Corporate Expatriation Policy.</w:t>
      </w:r>
    </w:p>
    <w:p>
      <w:pPr>
        <w:pStyle w:val="BodyText"/>
        <w:spacing w:before="6"/>
        <w:rPr>
          <w:sz w:val="20"/>
        </w:rPr>
      </w:pPr>
    </w:p>
    <w:p>
      <w:pPr>
        <w:pStyle w:val="Heading3"/>
        <w:spacing w:before="1"/>
      </w:pPr>
      <w:r>
        <w:rPr>
          <w:color w:val="231F20"/>
          <w:w w:val="110"/>
        </w:rPr>
        <w:t>Contracts of employment and severance payments</w:t>
      </w:r>
    </w:p>
    <w:p>
      <w:pPr>
        <w:pStyle w:val="BodyText"/>
        <w:spacing w:line="276" w:lineRule="auto" w:before="31"/>
        <w:ind w:left="560" w:right="1252"/>
      </w:pPr>
      <w:r>
        <w:rPr>
          <w:color w:val="231F20"/>
        </w:rPr>
        <w:t>As of </w:t>
      </w:r>
      <w:r>
        <w:rPr>
          <w:color w:val="231F20"/>
          <w:spacing w:val="-3"/>
        </w:rPr>
        <w:t>31 </w:t>
      </w:r>
      <w:r>
        <w:rPr>
          <w:color w:val="231F20"/>
        </w:rPr>
        <w:t>December </w:t>
      </w:r>
      <w:r>
        <w:rPr>
          <w:color w:val="231F20"/>
          <w:spacing w:val="-4"/>
        </w:rPr>
        <w:t>2013,  </w:t>
      </w:r>
      <w:r>
        <w:rPr>
          <w:color w:val="231F20"/>
        </w:rPr>
        <w:t>members of the Executive Board are subject to a notice period of six months. During  this time, unless there was termination for cause, entitlement to the Annual Base </w:t>
      </w:r>
      <w:r>
        <w:rPr>
          <w:color w:val="231F20"/>
          <w:spacing w:val="2"/>
        </w:rPr>
        <w:t>Salary </w:t>
      </w:r>
      <w:r>
        <w:rPr>
          <w:color w:val="231F20"/>
        </w:rPr>
        <w:t>and pro-rated Short- </w:t>
      </w:r>
      <w:r>
        <w:rPr>
          <w:color w:val="231F20"/>
          <w:spacing w:val="-3"/>
        </w:rPr>
        <w:t>Term </w:t>
      </w:r>
      <w:r>
        <w:rPr>
          <w:color w:val="231F20"/>
        </w:rPr>
        <w:t>Bonus continues. Long-Term Incentives forfeit upon voluntary resignation or termination for cause (except vested Stock Options remain exercisable for a period of </w:t>
      </w:r>
      <w:r>
        <w:rPr>
          <w:color w:val="231F20"/>
          <w:spacing w:val="2"/>
        </w:rPr>
        <w:t>thirty </w:t>
      </w:r>
      <w:r>
        <w:rPr>
          <w:color w:val="231F20"/>
        </w:rPr>
        <w:t>days upon termination for cause); Long-Term Incentives (except Stock Options) immediately vest in all other cases of termination of employment. There are   no severance payments or change of control provisions (“golden</w:t>
      </w:r>
      <w:r>
        <w:rPr>
          <w:color w:val="231F20"/>
          <w:spacing w:val="3"/>
        </w:rPr>
        <w:t> </w:t>
      </w:r>
      <w:r>
        <w:rPr>
          <w:color w:val="231F20"/>
        </w:rPr>
        <w:t>parachutes”).</w:t>
      </w:r>
    </w:p>
    <w:p>
      <w:pPr>
        <w:pStyle w:val="BodyText"/>
        <w:spacing w:before="5"/>
        <w:rPr>
          <w:sz w:val="20"/>
        </w:rPr>
      </w:pPr>
    </w:p>
    <w:p>
      <w:pPr>
        <w:pStyle w:val="Heading3"/>
      </w:pPr>
      <w:r>
        <w:rPr>
          <w:color w:val="231F20"/>
          <w:w w:val="110"/>
        </w:rPr>
        <w:t>Benchmarks</w:t>
      </w:r>
    </w:p>
    <w:p>
      <w:pPr>
        <w:pStyle w:val="BodyText"/>
        <w:spacing w:before="31"/>
        <w:ind w:left="560"/>
      </w:pPr>
      <w:r>
        <w:rPr>
          <w:color w:val="231F20"/>
          <w:w w:val="105"/>
        </w:rPr>
        <w:t>See above elements of compensation for members of the Executive Board.</w:t>
      </w:r>
    </w:p>
    <w:p>
      <w:pPr>
        <w:spacing w:after="0"/>
        <w:sectPr>
          <w:pgSz w:w="11910" w:h="14750"/>
          <w:pgMar w:header="642" w:footer="509" w:top="840" w:bottom="700" w:left="460" w:right="460"/>
        </w:sectPr>
      </w:pPr>
    </w:p>
    <w:p>
      <w:pPr>
        <w:pStyle w:val="BodyText"/>
        <w:rPr>
          <w:sz w:val="20"/>
        </w:rPr>
      </w:pPr>
    </w:p>
    <w:p>
      <w:pPr>
        <w:pStyle w:val="BodyText"/>
        <w:rPr>
          <w:sz w:val="20"/>
        </w:rPr>
      </w:pPr>
    </w:p>
    <w:p>
      <w:pPr>
        <w:pStyle w:val="BodyText"/>
        <w:spacing w:before="4"/>
        <w:rPr>
          <w:sz w:val="24"/>
        </w:rPr>
      </w:pPr>
    </w:p>
    <w:tbl>
      <w:tblPr>
        <w:tblW w:w="0" w:type="auto"/>
        <w:jc w:val="left"/>
        <w:tblInd w:w="1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7498"/>
        <w:gridCol w:w="1519"/>
        <w:gridCol w:w="1301"/>
      </w:tblGrid>
      <w:tr>
        <w:trPr>
          <w:trHeight w:val="1188" w:hRule="atLeast"/>
        </w:trPr>
        <w:tc>
          <w:tcPr>
            <w:tcW w:w="7498" w:type="dxa"/>
            <w:tcBorders>
              <w:bottom w:val="single" w:sz="2" w:space="0" w:color="231F20"/>
            </w:tcBorders>
          </w:tcPr>
          <w:p>
            <w:pPr>
              <w:pStyle w:val="TableParagraph"/>
              <w:spacing w:line="240" w:lineRule="auto" w:before="8"/>
              <w:rPr>
                <w:b/>
                <w:sz w:val="18"/>
              </w:rPr>
            </w:pPr>
            <w:bookmarkStart w:name="Compensation 2013 for members of the Exe" w:id="32"/>
            <w:bookmarkEnd w:id="32"/>
            <w:r>
              <w:rPr/>
            </w:r>
            <w:r>
              <w:rPr>
                <w:b/>
                <w:color w:val="231F20"/>
                <w:w w:val="110"/>
                <w:sz w:val="18"/>
              </w:rPr>
              <w:t>Compensation 2013 for members of the Executive Board</w:t>
            </w:r>
          </w:p>
          <w:p>
            <w:pPr>
              <w:pStyle w:val="TableParagraph"/>
              <w:spacing w:line="240" w:lineRule="auto" w:before="31"/>
              <w:rPr>
                <w:sz w:val="18"/>
              </w:rPr>
            </w:pPr>
            <w:r>
              <w:rPr>
                <w:color w:val="231F20"/>
                <w:w w:val="105"/>
                <w:sz w:val="18"/>
              </w:rPr>
              <w:t>The</w:t>
            </w:r>
            <w:r>
              <w:rPr>
                <w:color w:val="231F20"/>
                <w:spacing w:val="-5"/>
                <w:w w:val="105"/>
                <w:sz w:val="18"/>
              </w:rPr>
              <w:t> </w:t>
            </w:r>
            <w:r>
              <w:rPr>
                <w:color w:val="231F20"/>
                <w:w w:val="105"/>
                <w:sz w:val="18"/>
              </w:rPr>
              <w:t>total</w:t>
            </w:r>
            <w:r>
              <w:rPr>
                <w:color w:val="231F20"/>
                <w:spacing w:val="-5"/>
                <w:w w:val="105"/>
                <w:sz w:val="18"/>
              </w:rPr>
              <w:t> </w:t>
            </w:r>
            <w:r>
              <w:rPr>
                <w:color w:val="231F20"/>
                <w:w w:val="105"/>
                <w:sz w:val="18"/>
              </w:rPr>
              <w:t>compensation</w:t>
            </w:r>
            <w:r>
              <w:rPr>
                <w:color w:val="231F20"/>
                <w:spacing w:val="-5"/>
                <w:w w:val="105"/>
                <w:sz w:val="18"/>
              </w:rPr>
              <w:t> </w:t>
            </w:r>
            <w:r>
              <w:rPr>
                <w:color w:val="231F20"/>
                <w:w w:val="105"/>
                <w:sz w:val="18"/>
              </w:rPr>
              <w:t>paid</w:t>
            </w:r>
            <w:r>
              <w:rPr>
                <w:color w:val="231F20"/>
                <w:spacing w:val="-5"/>
                <w:w w:val="105"/>
                <w:sz w:val="18"/>
              </w:rPr>
              <w:t> </w:t>
            </w:r>
            <w:r>
              <w:rPr>
                <w:color w:val="231F20"/>
                <w:w w:val="105"/>
                <w:sz w:val="18"/>
              </w:rPr>
              <w:t>to</w:t>
            </w:r>
            <w:r>
              <w:rPr>
                <w:color w:val="231F20"/>
                <w:spacing w:val="-5"/>
                <w:w w:val="105"/>
                <w:sz w:val="18"/>
              </w:rPr>
              <w:t> </w:t>
            </w:r>
            <w:r>
              <w:rPr>
                <w:color w:val="231F20"/>
                <w:w w:val="105"/>
                <w:sz w:val="18"/>
              </w:rPr>
              <w:t>members</w:t>
            </w:r>
            <w:r>
              <w:rPr>
                <w:color w:val="231F20"/>
                <w:spacing w:val="-5"/>
                <w:w w:val="105"/>
                <w:sz w:val="18"/>
              </w:rPr>
              <w:t> </w:t>
            </w:r>
            <w:r>
              <w:rPr>
                <w:color w:val="231F20"/>
                <w:w w:val="105"/>
                <w:sz w:val="18"/>
              </w:rPr>
              <w:t>of</w:t>
            </w:r>
            <w:r>
              <w:rPr>
                <w:color w:val="231F20"/>
                <w:spacing w:val="-5"/>
                <w:w w:val="105"/>
                <w:sz w:val="18"/>
              </w:rPr>
              <w:t> </w:t>
            </w:r>
            <w:r>
              <w:rPr>
                <w:color w:val="231F20"/>
                <w:w w:val="105"/>
                <w:sz w:val="18"/>
              </w:rPr>
              <w:t>the</w:t>
            </w:r>
            <w:r>
              <w:rPr>
                <w:color w:val="231F20"/>
                <w:spacing w:val="-5"/>
                <w:w w:val="105"/>
                <w:sz w:val="18"/>
              </w:rPr>
              <w:t> </w:t>
            </w:r>
            <w:r>
              <w:rPr>
                <w:color w:val="231F20"/>
                <w:w w:val="105"/>
                <w:sz w:val="18"/>
              </w:rPr>
              <w:t>Executive</w:t>
            </w:r>
            <w:r>
              <w:rPr>
                <w:color w:val="231F20"/>
                <w:spacing w:val="-5"/>
                <w:w w:val="105"/>
                <w:sz w:val="18"/>
              </w:rPr>
              <w:t> </w:t>
            </w:r>
            <w:r>
              <w:rPr>
                <w:color w:val="231F20"/>
                <w:w w:val="105"/>
                <w:sz w:val="18"/>
              </w:rPr>
              <w:t>Board</w:t>
            </w:r>
            <w:r>
              <w:rPr>
                <w:color w:val="231F20"/>
                <w:spacing w:val="-5"/>
                <w:w w:val="105"/>
                <w:sz w:val="18"/>
              </w:rPr>
              <w:t> </w:t>
            </w:r>
            <w:r>
              <w:rPr>
                <w:color w:val="231F20"/>
                <w:w w:val="105"/>
                <w:sz w:val="18"/>
              </w:rPr>
              <w:t>in</w:t>
            </w:r>
            <w:r>
              <w:rPr>
                <w:color w:val="231F20"/>
                <w:spacing w:val="-5"/>
                <w:w w:val="105"/>
                <w:sz w:val="18"/>
              </w:rPr>
              <w:t> </w:t>
            </w:r>
            <w:r>
              <w:rPr>
                <w:color w:val="231F20"/>
                <w:spacing w:val="-4"/>
                <w:w w:val="105"/>
                <w:sz w:val="18"/>
              </w:rPr>
              <w:t>2013 </w:t>
            </w:r>
            <w:r>
              <w:rPr>
                <w:color w:val="231F20"/>
                <w:w w:val="105"/>
                <w:sz w:val="18"/>
              </w:rPr>
              <w:t>was</w:t>
            </w:r>
            <w:r>
              <w:rPr>
                <w:color w:val="231F20"/>
                <w:spacing w:val="-5"/>
                <w:w w:val="105"/>
                <w:sz w:val="18"/>
              </w:rPr>
              <w:t> </w:t>
            </w:r>
            <w:r>
              <w:rPr>
                <w:color w:val="231F20"/>
                <w:w w:val="105"/>
                <w:sz w:val="18"/>
              </w:rPr>
              <w:t>CHF</w:t>
            </w:r>
            <w:r>
              <w:rPr>
                <w:color w:val="231F20"/>
                <w:spacing w:val="-5"/>
                <w:w w:val="105"/>
                <w:sz w:val="18"/>
              </w:rPr>
              <w:t> </w:t>
            </w:r>
            <w:r>
              <w:rPr>
                <w:color w:val="231F20"/>
                <w:spacing w:val="3"/>
                <w:w w:val="105"/>
                <w:sz w:val="18"/>
              </w:rPr>
              <w:t>43</w:t>
            </w:r>
            <w:r>
              <w:rPr>
                <w:color w:val="231F20"/>
                <w:spacing w:val="-5"/>
                <w:w w:val="105"/>
                <w:sz w:val="18"/>
              </w:rPr>
              <w:t> </w:t>
            </w:r>
            <w:r>
              <w:rPr>
                <w:color w:val="231F20"/>
                <w:w w:val="105"/>
                <w:sz w:val="18"/>
              </w:rPr>
              <w:t>073</w:t>
            </w:r>
          </w:p>
          <w:p>
            <w:pPr>
              <w:pStyle w:val="TableParagraph"/>
              <w:spacing w:line="240" w:lineRule="auto" w:before="4"/>
              <w:rPr>
                <w:sz w:val="23"/>
              </w:rPr>
            </w:pPr>
          </w:p>
          <w:p>
            <w:pPr>
              <w:pStyle w:val="TableParagraph"/>
              <w:spacing w:line="240" w:lineRule="auto" w:before="0"/>
              <w:rPr>
                <w:b/>
                <w:sz w:val="18"/>
              </w:rPr>
            </w:pPr>
            <w:r>
              <w:rPr>
                <w:b/>
                <w:color w:val="586670"/>
                <w:w w:val="110"/>
                <w:sz w:val="18"/>
              </w:rPr>
              <w:t>Compensation for members of the Executive Board in CHF</w:t>
            </w:r>
          </w:p>
        </w:tc>
        <w:tc>
          <w:tcPr>
            <w:tcW w:w="1519" w:type="dxa"/>
            <w:tcBorders>
              <w:bottom w:val="single" w:sz="2" w:space="0" w:color="231F20"/>
            </w:tcBorders>
          </w:tcPr>
          <w:p>
            <w:pPr>
              <w:pStyle w:val="TableParagraph"/>
              <w:spacing w:line="240" w:lineRule="auto" w:before="4"/>
              <w:rPr>
                <w:sz w:val="21"/>
              </w:rPr>
            </w:pPr>
          </w:p>
          <w:p>
            <w:pPr>
              <w:pStyle w:val="TableParagraph"/>
              <w:spacing w:line="240" w:lineRule="auto" w:before="0"/>
              <w:ind w:left="25"/>
              <w:rPr>
                <w:sz w:val="18"/>
              </w:rPr>
            </w:pPr>
            <w:r>
              <w:rPr>
                <w:color w:val="231F20"/>
                <w:sz w:val="18"/>
              </w:rPr>
              <w:t>611.</w:t>
            </w:r>
          </w:p>
        </w:tc>
        <w:tc>
          <w:tcPr>
            <w:tcW w:w="1301" w:type="dxa"/>
            <w:tcBorders>
              <w:bottom w:val="single" w:sz="2" w:space="0" w:color="231F20"/>
            </w:tcBorders>
          </w:tcPr>
          <w:p>
            <w:pPr>
              <w:pStyle w:val="TableParagraph"/>
              <w:spacing w:line="240" w:lineRule="auto" w:before="0"/>
              <w:rPr>
                <w:rFonts w:ascii="Times New Roman"/>
                <w:sz w:val="16"/>
              </w:rPr>
            </w:pPr>
          </w:p>
        </w:tc>
      </w:tr>
      <w:tr>
        <w:trPr>
          <w:trHeight w:val="477" w:hRule="atLeast"/>
        </w:trPr>
        <w:tc>
          <w:tcPr>
            <w:tcW w:w="7498" w:type="dxa"/>
            <w:tcBorders>
              <w:top w:val="single" w:sz="2" w:space="0" w:color="231F20"/>
              <w:bottom w:val="single" w:sz="2" w:space="0" w:color="231F20"/>
            </w:tcBorders>
          </w:tcPr>
          <w:p>
            <w:pPr>
              <w:pStyle w:val="TableParagraph"/>
              <w:spacing w:line="240" w:lineRule="auto" w:before="0"/>
              <w:rPr>
                <w:rFonts w:ascii="Times New Roman"/>
                <w:sz w:val="16"/>
              </w:rPr>
            </w:pPr>
          </w:p>
        </w:tc>
        <w:tc>
          <w:tcPr>
            <w:tcW w:w="1519" w:type="dxa"/>
            <w:tcBorders>
              <w:top w:val="single" w:sz="2" w:space="0" w:color="231F20"/>
              <w:bottom w:val="single" w:sz="2" w:space="0" w:color="231F20"/>
            </w:tcBorders>
          </w:tcPr>
          <w:p>
            <w:pPr>
              <w:pStyle w:val="TableParagraph"/>
              <w:spacing w:line="240" w:lineRule="auto" w:before="2"/>
              <w:rPr>
                <w:sz w:val="19"/>
              </w:rPr>
            </w:pPr>
          </w:p>
          <w:p>
            <w:pPr>
              <w:pStyle w:val="TableParagraph"/>
              <w:spacing w:line="240" w:lineRule="auto" w:before="0"/>
              <w:ind w:right="460"/>
              <w:jc w:val="right"/>
              <w:rPr>
                <w:sz w:val="15"/>
              </w:rPr>
            </w:pPr>
            <w:r>
              <w:rPr>
                <w:color w:val="0083CA"/>
                <w:w w:val="105"/>
                <w:sz w:val="15"/>
              </w:rPr>
              <w:t>2013</w:t>
            </w:r>
          </w:p>
        </w:tc>
        <w:tc>
          <w:tcPr>
            <w:tcW w:w="1301" w:type="dxa"/>
            <w:tcBorders>
              <w:top w:val="single" w:sz="2" w:space="0" w:color="231F20"/>
              <w:bottom w:val="single" w:sz="2" w:space="0" w:color="231F20"/>
            </w:tcBorders>
          </w:tcPr>
          <w:p>
            <w:pPr>
              <w:pStyle w:val="TableParagraph"/>
              <w:spacing w:line="240" w:lineRule="auto" w:before="2"/>
              <w:rPr>
                <w:sz w:val="19"/>
              </w:rPr>
            </w:pPr>
          </w:p>
          <w:p>
            <w:pPr>
              <w:pStyle w:val="TableParagraph"/>
              <w:spacing w:line="240" w:lineRule="auto" w:before="0"/>
              <w:ind w:right="6"/>
              <w:jc w:val="right"/>
              <w:rPr>
                <w:sz w:val="15"/>
              </w:rPr>
            </w:pPr>
            <w:r>
              <w:rPr>
                <w:color w:val="586670"/>
                <w:w w:val="105"/>
                <w:sz w:val="15"/>
              </w:rPr>
              <w:t>2012</w:t>
            </w:r>
          </w:p>
        </w:tc>
      </w:tr>
      <w:tr>
        <w:trPr>
          <w:trHeight w:val="232" w:hRule="atLeast"/>
        </w:trPr>
        <w:tc>
          <w:tcPr>
            <w:tcW w:w="7498" w:type="dxa"/>
            <w:tcBorders>
              <w:top w:val="single" w:sz="2" w:space="0" w:color="231F20"/>
              <w:bottom w:val="single" w:sz="2" w:space="0" w:color="8F999F"/>
            </w:tcBorders>
          </w:tcPr>
          <w:p>
            <w:pPr>
              <w:pStyle w:val="TableParagraph"/>
              <w:spacing w:before="40"/>
              <w:rPr>
                <w:sz w:val="15"/>
              </w:rPr>
            </w:pPr>
            <w:r>
              <w:rPr>
                <w:color w:val="231F20"/>
                <w:sz w:val="15"/>
              </w:rPr>
              <w:t>Annual Base Salary</w:t>
            </w:r>
          </w:p>
        </w:tc>
        <w:tc>
          <w:tcPr>
            <w:tcW w:w="1519" w:type="dxa"/>
            <w:tcBorders>
              <w:top w:val="single" w:sz="2" w:space="0" w:color="231F20"/>
              <w:bottom w:val="single" w:sz="2" w:space="0" w:color="8F999F"/>
            </w:tcBorders>
          </w:tcPr>
          <w:p>
            <w:pPr>
              <w:pStyle w:val="TableParagraph"/>
              <w:spacing w:before="40"/>
              <w:ind w:right="454"/>
              <w:jc w:val="right"/>
              <w:rPr>
                <w:sz w:val="15"/>
              </w:rPr>
            </w:pPr>
            <w:r>
              <w:rPr>
                <w:color w:val="0083CA"/>
                <w:w w:val="105"/>
                <w:sz w:val="15"/>
              </w:rPr>
              <w:t>13 989 169</w:t>
            </w:r>
          </w:p>
        </w:tc>
        <w:tc>
          <w:tcPr>
            <w:tcW w:w="1301" w:type="dxa"/>
            <w:tcBorders>
              <w:top w:val="single" w:sz="2" w:space="0" w:color="231F20"/>
              <w:bottom w:val="single" w:sz="2" w:space="0" w:color="8F999F"/>
            </w:tcBorders>
          </w:tcPr>
          <w:p>
            <w:pPr>
              <w:pStyle w:val="TableParagraph"/>
              <w:spacing w:before="40"/>
              <w:ind w:right="-15"/>
              <w:jc w:val="right"/>
              <w:rPr>
                <w:sz w:val="15"/>
              </w:rPr>
            </w:pPr>
            <w:r>
              <w:rPr>
                <w:color w:val="231F20"/>
                <w:w w:val="105"/>
                <w:sz w:val="15"/>
              </w:rPr>
              <w:t>13 628 333</w:t>
            </w:r>
          </w:p>
        </w:tc>
      </w:tr>
      <w:tr>
        <w:trPr>
          <w:trHeight w:val="235" w:hRule="atLeast"/>
        </w:trPr>
        <w:tc>
          <w:tcPr>
            <w:tcW w:w="7498" w:type="dxa"/>
            <w:tcBorders>
              <w:top w:val="single" w:sz="2" w:space="0" w:color="8F999F"/>
              <w:bottom w:val="single" w:sz="2" w:space="0" w:color="8F999F"/>
            </w:tcBorders>
          </w:tcPr>
          <w:p>
            <w:pPr>
              <w:pStyle w:val="TableParagraph"/>
              <w:rPr>
                <w:sz w:val="15"/>
              </w:rPr>
            </w:pPr>
            <w:r>
              <w:rPr>
                <w:color w:val="231F20"/>
                <w:sz w:val="15"/>
              </w:rPr>
              <w:t>Short-Term Bonus (cash)</w:t>
            </w:r>
          </w:p>
        </w:tc>
        <w:tc>
          <w:tcPr>
            <w:tcW w:w="1519" w:type="dxa"/>
            <w:tcBorders>
              <w:top w:val="single" w:sz="2" w:space="0" w:color="8F999F"/>
              <w:bottom w:val="single" w:sz="2" w:space="0" w:color="8F999F"/>
            </w:tcBorders>
          </w:tcPr>
          <w:p>
            <w:pPr>
              <w:pStyle w:val="TableParagraph"/>
              <w:ind w:right="454"/>
              <w:jc w:val="right"/>
              <w:rPr>
                <w:sz w:val="15"/>
              </w:rPr>
            </w:pPr>
            <w:r>
              <w:rPr>
                <w:color w:val="0083CA"/>
                <w:w w:val="105"/>
                <w:sz w:val="15"/>
              </w:rPr>
              <w:t>5 359 108</w:t>
            </w:r>
          </w:p>
        </w:tc>
        <w:tc>
          <w:tcPr>
            <w:tcW w:w="1301" w:type="dxa"/>
            <w:tcBorders>
              <w:top w:val="single" w:sz="2" w:space="0" w:color="8F999F"/>
              <w:bottom w:val="single" w:sz="2" w:space="0" w:color="8F999F"/>
            </w:tcBorders>
          </w:tcPr>
          <w:p>
            <w:pPr>
              <w:pStyle w:val="TableParagraph"/>
              <w:ind w:right="-15"/>
              <w:jc w:val="right"/>
              <w:rPr>
                <w:sz w:val="15"/>
              </w:rPr>
            </w:pPr>
            <w:r>
              <w:rPr>
                <w:color w:val="231F20"/>
                <w:w w:val="105"/>
                <w:sz w:val="15"/>
              </w:rPr>
              <w:t>6 096 448</w:t>
            </w:r>
          </w:p>
        </w:tc>
      </w:tr>
      <w:tr>
        <w:trPr>
          <w:trHeight w:val="235" w:hRule="atLeast"/>
        </w:trPr>
        <w:tc>
          <w:tcPr>
            <w:tcW w:w="7498" w:type="dxa"/>
            <w:tcBorders>
              <w:top w:val="single" w:sz="2" w:space="0" w:color="8F999F"/>
              <w:bottom w:val="single" w:sz="2" w:space="0" w:color="8F999F"/>
            </w:tcBorders>
          </w:tcPr>
          <w:p>
            <w:pPr>
              <w:pStyle w:val="TableParagraph"/>
              <w:rPr>
                <w:sz w:val="15"/>
              </w:rPr>
            </w:pPr>
            <w:r>
              <w:rPr>
                <w:color w:val="231F20"/>
                <w:sz w:val="15"/>
              </w:rPr>
              <w:t>Short-Term Bonus (discounted value of Nestlé S.A. share)</w:t>
            </w:r>
          </w:p>
        </w:tc>
        <w:tc>
          <w:tcPr>
            <w:tcW w:w="1519" w:type="dxa"/>
            <w:tcBorders>
              <w:top w:val="single" w:sz="2" w:space="0" w:color="8F999F"/>
              <w:bottom w:val="single" w:sz="2" w:space="0" w:color="8F999F"/>
            </w:tcBorders>
          </w:tcPr>
          <w:p>
            <w:pPr>
              <w:pStyle w:val="TableParagraph"/>
              <w:ind w:right="454"/>
              <w:jc w:val="right"/>
              <w:rPr>
                <w:sz w:val="15"/>
              </w:rPr>
            </w:pPr>
            <w:r>
              <w:rPr>
                <w:color w:val="0083CA"/>
                <w:w w:val="105"/>
                <w:sz w:val="15"/>
              </w:rPr>
              <w:t>7 741 163</w:t>
            </w:r>
          </w:p>
        </w:tc>
        <w:tc>
          <w:tcPr>
            <w:tcW w:w="1301" w:type="dxa"/>
            <w:tcBorders>
              <w:top w:val="single" w:sz="2" w:space="0" w:color="8F999F"/>
              <w:bottom w:val="single" w:sz="2" w:space="0" w:color="8F999F"/>
            </w:tcBorders>
          </w:tcPr>
          <w:p>
            <w:pPr>
              <w:pStyle w:val="TableParagraph"/>
              <w:ind w:right="-15"/>
              <w:jc w:val="right"/>
              <w:rPr>
                <w:sz w:val="15"/>
              </w:rPr>
            </w:pPr>
            <w:r>
              <w:rPr>
                <w:color w:val="231F20"/>
                <w:w w:val="105"/>
                <w:sz w:val="15"/>
              </w:rPr>
              <w:t>8 364 277</w:t>
            </w:r>
          </w:p>
        </w:tc>
      </w:tr>
      <w:tr>
        <w:trPr>
          <w:trHeight w:val="235" w:hRule="atLeast"/>
        </w:trPr>
        <w:tc>
          <w:tcPr>
            <w:tcW w:w="7498" w:type="dxa"/>
            <w:tcBorders>
              <w:top w:val="single" w:sz="2" w:space="0" w:color="8F999F"/>
              <w:bottom w:val="single" w:sz="2" w:space="0" w:color="8F999F"/>
            </w:tcBorders>
          </w:tcPr>
          <w:p>
            <w:pPr>
              <w:pStyle w:val="TableParagraph"/>
              <w:rPr>
                <w:sz w:val="15"/>
              </w:rPr>
            </w:pPr>
            <w:r>
              <w:rPr>
                <w:color w:val="231F20"/>
                <w:sz w:val="15"/>
              </w:rPr>
              <w:t>Stock Options (fair value at grant)</w:t>
            </w:r>
          </w:p>
        </w:tc>
        <w:tc>
          <w:tcPr>
            <w:tcW w:w="1519" w:type="dxa"/>
            <w:tcBorders>
              <w:top w:val="single" w:sz="2" w:space="0" w:color="8F999F"/>
              <w:bottom w:val="single" w:sz="2" w:space="0" w:color="8F999F"/>
            </w:tcBorders>
          </w:tcPr>
          <w:p>
            <w:pPr>
              <w:pStyle w:val="TableParagraph"/>
              <w:ind w:right="454"/>
              <w:jc w:val="right"/>
              <w:rPr>
                <w:sz w:val="15"/>
              </w:rPr>
            </w:pPr>
            <w:r>
              <w:rPr>
                <w:color w:val="0083CA"/>
                <w:w w:val="139"/>
                <w:sz w:val="15"/>
              </w:rPr>
              <w:t>–</w:t>
            </w:r>
          </w:p>
        </w:tc>
        <w:tc>
          <w:tcPr>
            <w:tcW w:w="1301" w:type="dxa"/>
            <w:tcBorders>
              <w:top w:val="single" w:sz="2" w:space="0" w:color="8F999F"/>
              <w:bottom w:val="single" w:sz="2" w:space="0" w:color="8F999F"/>
            </w:tcBorders>
          </w:tcPr>
          <w:p>
            <w:pPr>
              <w:pStyle w:val="TableParagraph"/>
              <w:ind w:right="-15"/>
              <w:jc w:val="right"/>
              <w:rPr>
                <w:sz w:val="15"/>
              </w:rPr>
            </w:pPr>
            <w:r>
              <w:rPr>
                <w:color w:val="231F20"/>
                <w:w w:val="105"/>
                <w:sz w:val="15"/>
              </w:rPr>
              <w:t>6 797 288</w:t>
            </w:r>
          </w:p>
        </w:tc>
      </w:tr>
      <w:tr>
        <w:trPr>
          <w:trHeight w:val="235" w:hRule="atLeast"/>
        </w:trPr>
        <w:tc>
          <w:tcPr>
            <w:tcW w:w="7498" w:type="dxa"/>
            <w:tcBorders>
              <w:top w:val="single" w:sz="2" w:space="0" w:color="8F999F"/>
              <w:bottom w:val="single" w:sz="2" w:space="0" w:color="8F999F"/>
            </w:tcBorders>
          </w:tcPr>
          <w:p>
            <w:pPr>
              <w:pStyle w:val="TableParagraph"/>
              <w:rPr>
                <w:sz w:val="15"/>
              </w:rPr>
            </w:pPr>
            <w:r>
              <w:rPr>
                <w:color w:val="231F20"/>
                <w:sz w:val="15"/>
              </w:rPr>
              <w:t>Performance Share Units (fair value at grant)</w:t>
            </w:r>
          </w:p>
        </w:tc>
        <w:tc>
          <w:tcPr>
            <w:tcW w:w="1519" w:type="dxa"/>
            <w:tcBorders>
              <w:top w:val="single" w:sz="2" w:space="0" w:color="8F999F"/>
              <w:bottom w:val="single" w:sz="2" w:space="0" w:color="8F999F"/>
            </w:tcBorders>
          </w:tcPr>
          <w:p>
            <w:pPr>
              <w:pStyle w:val="TableParagraph"/>
              <w:ind w:right="454"/>
              <w:jc w:val="right"/>
              <w:rPr>
                <w:sz w:val="15"/>
              </w:rPr>
            </w:pPr>
            <w:r>
              <w:rPr>
                <w:color w:val="0083CA"/>
                <w:w w:val="105"/>
                <w:sz w:val="15"/>
              </w:rPr>
              <w:t>14 166 361</w:t>
            </w:r>
          </w:p>
        </w:tc>
        <w:tc>
          <w:tcPr>
            <w:tcW w:w="1301" w:type="dxa"/>
            <w:tcBorders>
              <w:top w:val="single" w:sz="2" w:space="0" w:color="8F999F"/>
              <w:bottom w:val="single" w:sz="2" w:space="0" w:color="8F999F"/>
            </w:tcBorders>
          </w:tcPr>
          <w:p>
            <w:pPr>
              <w:pStyle w:val="TableParagraph"/>
              <w:ind w:right="-15"/>
              <w:jc w:val="right"/>
              <w:rPr>
                <w:sz w:val="15"/>
              </w:rPr>
            </w:pPr>
            <w:r>
              <w:rPr>
                <w:color w:val="231F20"/>
                <w:w w:val="105"/>
                <w:sz w:val="15"/>
              </w:rPr>
              <w:t>6 683 303</w:t>
            </w:r>
          </w:p>
        </w:tc>
      </w:tr>
      <w:tr>
        <w:trPr>
          <w:trHeight w:val="235" w:hRule="atLeast"/>
        </w:trPr>
        <w:tc>
          <w:tcPr>
            <w:tcW w:w="7498" w:type="dxa"/>
            <w:tcBorders>
              <w:top w:val="single" w:sz="2" w:space="0" w:color="8F999F"/>
              <w:bottom w:val="single" w:sz="2" w:space="0" w:color="8F999F"/>
            </w:tcBorders>
          </w:tcPr>
          <w:p>
            <w:pPr>
              <w:pStyle w:val="TableParagraph"/>
              <w:rPr>
                <w:sz w:val="15"/>
              </w:rPr>
            </w:pPr>
            <w:r>
              <w:rPr>
                <w:color w:val="231F20"/>
                <w:sz w:val="15"/>
              </w:rPr>
              <w:t>Restricted Stock Units (fair value at grant)</w:t>
            </w:r>
          </w:p>
        </w:tc>
        <w:tc>
          <w:tcPr>
            <w:tcW w:w="1519" w:type="dxa"/>
            <w:tcBorders>
              <w:top w:val="single" w:sz="2" w:space="0" w:color="8F999F"/>
              <w:bottom w:val="single" w:sz="2" w:space="0" w:color="8F999F"/>
            </w:tcBorders>
          </w:tcPr>
          <w:p>
            <w:pPr>
              <w:pStyle w:val="TableParagraph"/>
              <w:ind w:right="454"/>
              <w:jc w:val="right"/>
              <w:rPr>
                <w:sz w:val="15"/>
              </w:rPr>
            </w:pPr>
            <w:r>
              <w:rPr>
                <w:color w:val="0083CA"/>
                <w:w w:val="105"/>
                <w:sz w:val="15"/>
              </w:rPr>
              <w:t>277 083</w:t>
            </w:r>
          </w:p>
        </w:tc>
        <w:tc>
          <w:tcPr>
            <w:tcW w:w="1301" w:type="dxa"/>
            <w:tcBorders>
              <w:top w:val="single" w:sz="2" w:space="0" w:color="8F999F"/>
              <w:bottom w:val="single" w:sz="2" w:space="0" w:color="8F999F"/>
            </w:tcBorders>
          </w:tcPr>
          <w:p>
            <w:pPr>
              <w:pStyle w:val="TableParagraph"/>
              <w:ind w:right="-15"/>
              <w:jc w:val="right"/>
              <w:rPr>
                <w:sz w:val="15"/>
              </w:rPr>
            </w:pPr>
            <w:r>
              <w:rPr>
                <w:color w:val="231F20"/>
                <w:w w:val="105"/>
                <w:sz w:val="15"/>
              </w:rPr>
              <w:t>270 593</w:t>
            </w:r>
          </w:p>
        </w:tc>
      </w:tr>
      <w:tr>
        <w:trPr>
          <w:trHeight w:val="235" w:hRule="atLeast"/>
        </w:trPr>
        <w:tc>
          <w:tcPr>
            <w:tcW w:w="7498" w:type="dxa"/>
            <w:tcBorders>
              <w:top w:val="single" w:sz="2" w:space="0" w:color="8F999F"/>
              <w:bottom w:val="single" w:sz="2" w:space="0" w:color="8F999F"/>
            </w:tcBorders>
          </w:tcPr>
          <w:p>
            <w:pPr>
              <w:pStyle w:val="TableParagraph"/>
              <w:rPr>
                <w:sz w:val="15"/>
              </w:rPr>
            </w:pPr>
            <w:r>
              <w:rPr>
                <w:color w:val="231F20"/>
                <w:sz w:val="15"/>
              </w:rPr>
              <w:t>Other benefits</w:t>
            </w:r>
          </w:p>
        </w:tc>
        <w:tc>
          <w:tcPr>
            <w:tcW w:w="1519" w:type="dxa"/>
            <w:tcBorders>
              <w:top w:val="single" w:sz="2" w:space="0" w:color="8F999F"/>
              <w:bottom w:val="single" w:sz="2" w:space="0" w:color="8F999F"/>
            </w:tcBorders>
          </w:tcPr>
          <w:p>
            <w:pPr>
              <w:pStyle w:val="TableParagraph"/>
              <w:ind w:right="454"/>
              <w:jc w:val="right"/>
              <w:rPr>
                <w:sz w:val="15"/>
              </w:rPr>
            </w:pPr>
            <w:r>
              <w:rPr>
                <w:color w:val="0083CA"/>
                <w:w w:val="105"/>
                <w:sz w:val="15"/>
              </w:rPr>
              <w:t>1 540 727</w:t>
            </w:r>
          </w:p>
        </w:tc>
        <w:tc>
          <w:tcPr>
            <w:tcW w:w="1301" w:type="dxa"/>
            <w:tcBorders>
              <w:top w:val="single" w:sz="2" w:space="0" w:color="8F999F"/>
              <w:bottom w:val="single" w:sz="2" w:space="0" w:color="8F999F"/>
            </w:tcBorders>
          </w:tcPr>
          <w:p>
            <w:pPr>
              <w:pStyle w:val="TableParagraph"/>
              <w:ind w:right="-15"/>
              <w:jc w:val="right"/>
              <w:rPr>
                <w:sz w:val="15"/>
              </w:rPr>
            </w:pPr>
            <w:r>
              <w:rPr>
                <w:color w:val="231F20"/>
                <w:w w:val="105"/>
                <w:sz w:val="15"/>
              </w:rPr>
              <w:t>2 042 432</w:t>
            </w:r>
          </w:p>
        </w:tc>
      </w:tr>
      <w:tr>
        <w:trPr>
          <w:trHeight w:val="235" w:hRule="atLeast"/>
        </w:trPr>
        <w:tc>
          <w:tcPr>
            <w:tcW w:w="7498" w:type="dxa"/>
            <w:tcBorders>
              <w:top w:val="single" w:sz="2" w:space="0" w:color="8F999F"/>
              <w:bottom w:val="single" w:sz="4" w:space="0" w:color="231F20"/>
            </w:tcBorders>
          </w:tcPr>
          <w:p>
            <w:pPr>
              <w:pStyle w:val="TableParagraph"/>
              <w:rPr>
                <w:b/>
                <w:sz w:val="15"/>
              </w:rPr>
            </w:pPr>
            <w:r>
              <w:rPr>
                <w:b/>
                <w:color w:val="586670"/>
                <w:sz w:val="15"/>
              </w:rPr>
              <w:t>Total</w:t>
            </w:r>
          </w:p>
        </w:tc>
        <w:tc>
          <w:tcPr>
            <w:tcW w:w="1519" w:type="dxa"/>
            <w:tcBorders>
              <w:top w:val="single" w:sz="2" w:space="0" w:color="8F999F"/>
              <w:bottom w:val="single" w:sz="4" w:space="0" w:color="231F20"/>
            </w:tcBorders>
          </w:tcPr>
          <w:p>
            <w:pPr>
              <w:pStyle w:val="TableParagraph"/>
              <w:ind w:right="454"/>
              <w:jc w:val="right"/>
              <w:rPr>
                <w:b/>
                <w:sz w:val="15"/>
              </w:rPr>
            </w:pPr>
            <w:r>
              <w:rPr>
                <w:b/>
                <w:color w:val="0083CA"/>
                <w:w w:val="105"/>
                <w:sz w:val="15"/>
              </w:rPr>
              <w:t>43 073 611</w:t>
            </w:r>
          </w:p>
        </w:tc>
        <w:tc>
          <w:tcPr>
            <w:tcW w:w="1301" w:type="dxa"/>
            <w:tcBorders>
              <w:top w:val="single" w:sz="2" w:space="0" w:color="8F999F"/>
              <w:bottom w:val="single" w:sz="4" w:space="0" w:color="231F20"/>
            </w:tcBorders>
          </w:tcPr>
          <w:p>
            <w:pPr>
              <w:pStyle w:val="TableParagraph"/>
              <w:ind w:right="-15"/>
              <w:jc w:val="right"/>
              <w:rPr>
                <w:b/>
                <w:sz w:val="15"/>
              </w:rPr>
            </w:pPr>
            <w:r>
              <w:rPr>
                <w:b/>
                <w:color w:val="586670"/>
                <w:w w:val="105"/>
                <w:sz w:val="15"/>
              </w:rPr>
              <w:t>43 882 674</w:t>
            </w:r>
          </w:p>
        </w:tc>
      </w:tr>
      <w:tr>
        <w:trPr>
          <w:trHeight w:val="230" w:hRule="atLeast"/>
        </w:trPr>
        <w:tc>
          <w:tcPr>
            <w:tcW w:w="7498" w:type="dxa"/>
            <w:tcBorders>
              <w:top w:val="single" w:sz="4" w:space="0" w:color="231F20"/>
              <w:bottom w:val="single" w:sz="2" w:space="0" w:color="8F999F"/>
            </w:tcBorders>
          </w:tcPr>
          <w:p>
            <w:pPr>
              <w:pStyle w:val="TableParagraph"/>
              <w:spacing w:before="38"/>
              <w:rPr>
                <w:sz w:val="15"/>
              </w:rPr>
            </w:pPr>
            <w:r>
              <w:rPr>
                <w:color w:val="231F20"/>
                <w:w w:val="125"/>
                <w:sz w:val="15"/>
              </w:rPr>
              <w:t>% </w:t>
            </w:r>
            <w:r>
              <w:rPr>
                <w:color w:val="231F20"/>
                <w:w w:val="110"/>
                <w:sz w:val="15"/>
              </w:rPr>
              <w:t>Fixed/Variable</w:t>
            </w:r>
          </w:p>
        </w:tc>
        <w:tc>
          <w:tcPr>
            <w:tcW w:w="1519" w:type="dxa"/>
            <w:tcBorders>
              <w:top w:val="single" w:sz="4" w:space="0" w:color="231F20"/>
              <w:bottom w:val="single" w:sz="2" w:space="0" w:color="8F999F"/>
            </w:tcBorders>
          </w:tcPr>
          <w:p>
            <w:pPr>
              <w:pStyle w:val="TableParagraph"/>
              <w:spacing w:before="38"/>
              <w:ind w:right="454"/>
              <w:jc w:val="right"/>
              <w:rPr>
                <w:sz w:val="15"/>
              </w:rPr>
            </w:pPr>
            <w:r>
              <w:rPr>
                <w:color w:val="0083CA"/>
                <w:w w:val="110"/>
                <w:sz w:val="15"/>
              </w:rPr>
              <w:t>36.1 – 63.9</w:t>
            </w:r>
          </w:p>
        </w:tc>
        <w:tc>
          <w:tcPr>
            <w:tcW w:w="1301" w:type="dxa"/>
            <w:tcBorders>
              <w:top w:val="single" w:sz="4" w:space="0" w:color="231F20"/>
              <w:bottom w:val="single" w:sz="2" w:space="0" w:color="8F999F"/>
            </w:tcBorders>
          </w:tcPr>
          <w:p>
            <w:pPr>
              <w:pStyle w:val="TableParagraph"/>
              <w:spacing w:before="38"/>
              <w:ind w:right="-15"/>
              <w:jc w:val="right"/>
              <w:rPr>
                <w:sz w:val="15"/>
              </w:rPr>
            </w:pPr>
            <w:r>
              <w:rPr>
                <w:color w:val="586670"/>
                <w:w w:val="110"/>
                <w:sz w:val="15"/>
              </w:rPr>
              <w:t>35.7 – 64.3</w:t>
            </w:r>
          </w:p>
        </w:tc>
      </w:tr>
    </w:tbl>
    <w:p>
      <w:pPr>
        <w:pStyle w:val="BodyText"/>
        <w:spacing w:before="7"/>
        <w:rPr>
          <w:sz w:val="12"/>
        </w:rPr>
      </w:pPr>
    </w:p>
    <w:p>
      <w:pPr>
        <w:pStyle w:val="BodyText"/>
        <w:spacing w:line="276" w:lineRule="auto" w:before="106"/>
        <w:ind w:left="106" w:right="1430"/>
      </w:pPr>
      <w:r>
        <w:rPr>
          <w:color w:val="231F20"/>
        </w:rPr>
        <w:t>The Company also made contributions of CHF 4 </w:t>
      </w:r>
      <w:r>
        <w:rPr>
          <w:color w:val="231F20"/>
          <w:spacing w:val="2"/>
        </w:rPr>
        <w:t>563 809 </w:t>
      </w:r>
      <w:r>
        <w:rPr>
          <w:color w:val="231F20"/>
        </w:rPr>
        <w:t>towards future pension benefits of the Executive Board members in line with Nestlé’s Pension Benefit Policy described above </w:t>
      </w:r>
      <w:r>
        <w:rPr>
          <w:color w:val="231F20"/>
          <w:spacing w:val="-5"/>
        </w:rPr>
        <w:t>(2012: </w:t>
      </w:r>
      <w:r>
        <w:rPr>
          <w:color w:val="231F20"/>
        </w:rPr>
        <w:t>CHF 5 429 </w:t>
      </w:r>
      <w:r>
        <w:rPr>
          <w:color w:val="231F20"/>
          <w:spacing w:val="-5"/>
        </w:rPr>
        <w:t>717).</w:t>
      </w:r>
    </w:p>
    <w:p>
      <w:pPr>
        <w:pStyle w:val="BodyText"/>
        <w:spacing w:before="7"/>
        <w:rPr>
          <w:sz w:val="20"/>
        </w:rPr>
      </w:pPr>
    </w:p>
    <w:p>
      <w:pPr>
        <w:pStyle w:val="BodyText"/>
        <w:ind w:left="106"/>
      </w:pPr>
      <w:r>
        <w:rPr>
          <w:color w:val="231F20"/>
        </w:rPr>
        <w:t>The above compensation table includes the following:</w:t>
      </w:r>
    </w:p>
    <w:p>
      <w:pPr>
        <w:pStyle w:val="BodyText"/>
        <w:spacing w:before="2"/>
      </w:pPr>
      <w:r>
        <w:rPr/>
        <w:pict>
          <v:line style="position:absolute;mso-position-horizontal-relative:page;mso-position-vertical-relative:paragraph;z-index:1712;mso-wrap-distance-left:0;mso-wrap-distance-right:0" from="28.346399pt,12.686231pt" to="544.252399pt,12.686231pt" stroked="true" strokeweight=".25pt" strokecolor="#231f20">
            <v:stroke dashstyle="solid"/>
            <w10:wrap type="topAndBottom"/>
          </v:line>
        </w:pict>
      </w:r>
    </w:p>
    <w:p>
      <w:pPr>
        <w:tabs>
          <w:tab w:pos="10098" w:val="left" w:leader="none"/>
        </w:tabs>
        <w:spacing w:before="193" w:after="80"/>
        <w:ind w:left="8339" w:right="0" w:firstLine="0"/>
        <w:jc w:val="left"/>
        <w:rPr>
          <w:sz w:val="15"/>
        </w:rPr>
      </w:pPr>
      <w:r>
        <w:rPr>
          <w:color w:val="0083CA"/>
          <w:spacing w:val="-3"/>
          <w:w w:val="105"/>
          <w:sz w:val="15"/>
        </w:rPr>
        <w:t>2013</w:t>
        <w:tab/>
      </w:r>
      <w:r>
        <w:rPr>
          <w:color w:val="586670"/>
          <w:spacing w:val="-6"/>
          <w:w w:val="105"/>
          <w:sz w:val="15"/>
        </w:rPr>
        <w:t>2012</w:t>
      </w:r>
    </w:p>
    <w:p>
      <w:pPr>
        <w:pStyle w:val="BodyText"/>
        <w:spacing w:line="20" w:lineRule="exact"/>
        <w:ind w:left="103"/>
        <w:rPr>
          <w:sz w:val="2"/>
        </w:rPr>
      </w:pPr>
      <w:r>
        <w:rPr>
          <w:sz w:val="2"/>
        </w:rPr>
        <w:pict>
          <v:group style="width:515.9500pt;height:.25pt;mso-position-horizontal-relative:char;mso-position-vertical-relative:line" coordorigin="0,0" coordsize="10319,5">
            <v:line style="position:absolute" from="8617,3" to="10318,3" stroked="true" strokeweight=".25pt" strokecolor="#231f20">
              <v:stroke dashstyle="solid"/>
            </v:line>
            <v:line style="position:absolute" from="0,3" to="8561,3" stroked="true" strokeweight=".25pt" strokecolor="#231f20">
              <v:stroke dashstyle="solid"/>
            </v:line>
          </v:group>
        </w:pict>
      </w:r>
      <w:r>
        <w:rPr>
          <w:sz w:val="2"/>
        </w:rPr>
      </w:r>
    </w:p>
    <w:p>
      <w:pPr>
        <w:tabs>
          <w:tab w:pos="8132" w:val="left" w:leader="none"/>
          <w:tab w:pos="9881" w:val="left" w:leader="none"/>
        </w:tabs>
        <w:spacing w:before="26" w:after="17"/>
        <w:ind w:left="106" w:right="0" w:firstLine="0"/>
        <w:jc w:val="left"/>
        <w:rPr>
          <w:sz w:val="15"/>
        </w:rPr>
      </w:pPr>
      <w:r>
        <w:rPr>
          <w:color w:val="231F20"/>
          <w:w w:val="105"/>
          <w:sz w:val="15"/>
        </w:rPr>
        <w:t>Number</w:t>
      </w:r>
      <w:r>
        <w:rPr>
          <w:color w:val="231F20"/>
          <w:spacing w:val="-14"/>
          <w:w w:val="105"/>
          <w:sz w:val="15"/>
        </w:rPr>
        <w:t> </w:t>
      </w:r>
      <w:r>
        <w:rPr>
          <w:color w:val="231F20"/>
          <w:w w:val="105"/>
          <w:sz w:val="15"/>
        </w:rPr>
        <w:t>of</w:t>
      </w:r>
      <w:r>
        <w:rPr>
          <w:color w:val="231F20"/>
          <w:spacing w:val="-14"/>
          <w:w w:val="105"/>
          <w:sz w:val="15"/>
        </w:rPr>
        <w:t> </w:t>
      </w:r>
      <w:r>
        <w:rPr>
          <w:color w:val="231F20"/>
          <w:w w:val="105"/>
          <w:sz w:val="15"/>
        </w:rPr>
        <w:t>Nestlé</w:t>
      </w:r>
      <w:r>
        <w:rPr>
          <w:color w:val="231F20"/>
          <w:spacing w:val="-13"/>
          <w:w w:val="105"/>
          <w:sz w:val="15"/>
        </w:rPr>
        <w:t> </w:t>
      </w:r>
      <w:r>
        <w:rPr>
          <w:color w:val="231F20"/>
          <w:w w:val="105"/>
          <w:sz w:val="15"/>
        </w:rPr>
        <w:t>S.A.</w:t>
      </w:r>
      <w:r>
        <w:rPr>
          <w:color w:val="231F20"/>
          <w:spacing w:val="-14"/>
          <w:w w:val="105"/>
          <w:sz w:val="15"/>
        </w:rPr>
        <w:t> </w:t>
      </w:r>
      <w:r>
        <w:rPr>
          <w:color w:val="231F20"/>
          <w:w w:val="105"/>
          <w:sz w:val="15"/>
        </w:rPr>
        <w:t>shares</w:t>
      </w:r>
      <w:r>
        <w:rPr>
          <w:color w:val="231F20"/>
          <w:spacing w:val="-14"/>
          <w:w w:val="105"/>
          <w:sz w:val="15"/>
        </w:rPr>
        <w:t> </w:t>
      </w:r>
      <w:r>
        <w:rPr>
          <w:color w:val="231F20"/>
          <w:w w:val="105"/>
          <w:sz w:val="15"/>
        </w:rPr>
        <w:t>granted</w:t>
        <w:tab/>
      </w:r>
      <w:r>
        <w:rPr>
          <w:color w:val="0083CA"/>
          <w:spacing w:val="-3"/>
          <w:w w:val="105"/>
          <w:sz w:val="15"/>
        </w:rPr>
        <w:t>137</w:t>
      </w:r>
      <w:r>
        <w:rPr>
          <w:color w:val="0083CA"/>
          <w:spacing w:val="-7"/>
          <w:w w:val="105"/>
          <w:sz w:val="15"/>
        </w:rPr>
        <w:t> </w:t>
      </w:r>
      <w:r>
        <w:rPr>
          <w:color w:val="0083CA"/>
          <w:w w:val="105"/>
          <w:sz w:val="15"/>
        </w:rPr>
        <w:t>279</w:t>
        <w:tab/>
      </w:r>
      <w:r>
        <w:rPr>
          <w:color w:val="586670"/>
          <w:w w:val="105"/>
          <w:sz w:val="15"/>
        </w:rPr>
        <w:t>156</w:t>
      </w:r>
      <w:r>
        <w:rPr>
          <w:color w:val="586670"/>
          <w:spacing w:val="-2"/>
          <w:w w:val="105"/>
          <w:sz w:val="15"/>
        </w:rPr>
        <w:t> </w:t>
      </w:r>
      <w:r>
        <w:rPr>
          <w:color w:val="586670"/>
          <w:w w:val="105"/>
          <w:sz w:val="15"/>
        </w:rPr>
        <w:t>254</w:t>
      </w:r>
    </w:p>
    <w:p>
      <w:pPr>
        <w:pStyle w:val="BodyText"/>
        <w:spacing w:line="20" w:lineRule="exact"/>
        <w:ind w:left="103"/>
        <w:rPr>
          <w:sz w:val="2"/>
        </w:rPr>
      </w:pPr>
      <w:r>
        <w:rPr>
          <w:sz w:val="2"/>
        </w:rPr>
        <w:pict>
          <v:group style="width:515.9500pt;height:.25pt;mso-position-horizontal-relative:char;mso-position-vertical-relative:line" coordorigin="0,0" coordsize="10319,5">
            <v:line style="position:absolute" from="8617,3" to="10318,3" stroked="true" strokeweight=".25pt" strokecolor="#8f999f">
              <v:stroke dashstyle="solid"/>
            </v:line>
            <v:line style="position:absolute" from="0,3" to="8561,3" stroked="true" strokeweight=".25pt" strokecolor="#8f999f">
              <v:stroke dashstyle="solid"/>
            </v:line>
          </v:group>
        </w:pict>
      </w:r>
      <w:r>
        <w:rPr>
          <w:sz w:val="2"/>
        </w:rPr>
      </w:r>
    </w:p>
    <w:p>
      <w:pPr>
        <w:tabs>
          <w:tab w:pos="8125" w:val="left" w:leader="none"/>
          <w:tab w:pos="8590" w:val="left" w:leader="none"/>
          <w:tab w:pos="9751" w:val="left" w:leader="none"/>
          <w:tab w:pos="9881" w:val="left" w:leader="none"/>
        </w:tabs>
        <w:spacing w:line="331" w:lineRule="auto" w:before="28"/>
        <w:ind w:left="106" w:right="558" w:firstLine="0"/>
        <w:jc w:val="left"/>
        <w:rPr>
          <w:sz w:val="15"/>
        </w:rPr>
      </w:pPr>
      <w:r>
        <w:rPr/>
        <w:pict>
          <v:shape style="position:absolute;margin-left:28.346399pt;margin-top:11.118247pt;width:515.9500pt;height:.1pt;mso-position-horizontal-relative:page;mso-position-vertical-relative:paragraph;z-index:-114544" coordorigin="567,222" coordsize="10319,0" path="m9184,222l10885,222m567,222l9128,222e" filled="false" stroked="true" strokeweight=".25pt" strokecolor="#8f999f">
            <v:path arrowok="t"/>
            <v:stroke dashstyle="solid"/>
            <w10:wrap type="none"/>
          </v:shape>
        </w:pict>
      </w:r>
      <w:r>
        <w:rPr/>
        <w:pict>
          <v:shape style="position:absolute;margin-left:28.346399pt;margin-top:23.118248pt;width:515.9500pt;height:.1pt;mso-position-horizontal-relative:page;mso-position-vertical-relative:paragraph;z-index:-114520" coordorigin="567,462" coordsize="10319,0" path="m9184,462l10885,462m567,462l9128,462e" filled="false" stroked="true" strokeweight=".25pt" strokecolor="#8f999f">
            <v:path arrowok="t"/>
            <v:stroke dashstyle="solid"/>
            <w10:wrap type="none"/>
          </v:shape>
        </w:pict>
      </w:r>
      <w:r>
        <w:rPr>
          <w:color w:val="231F20"/>
          <w:w w:val="105"/>
          <w:sz w:val="15"/>
        </w:rPr>
        <w:t>Number</w:t>
      </w:r>
      <w:r>
        <w:rPr>
          <w:color w:val="231F20"/>
          <w:spacing w:val="-9"/>
          <w:w w:val="105"/>
          <w:sz w:val="15"/>
        </w:rPr>
        <w:t> </w:t>
      </w:r>
      <w:r>
        <w:rPr>
          <w:color w:val="231F20"/>
          <w:w w:val="105"/>
          <w:sz w:val="15"/>
        </w:rPr>
        <w:t>of</w:t>
      </w:r>
      <w:r>
        <w:rPr>
          <w:color w:val="231F20"/>
          <w:spacing w:val="-9"/>
          <w:w w:val="105"/>
          <w:sz w:val="15"/>
        </w:rPr>
        <w:t> </w:t>
      </w:r>
      <w:r>
        <w:rPr>
          <w:color w:val="231F20"/>
          <w:w w:val="105"/>
          <w:sz w:val="15"/>
        </w:rPr>
        <w:t>Stock</w:t>
      </w:r>
      <w:r>
        <w:rPr>
          <w:color w:val="231F20"/>
          <w:spacing w:val="-8"/>
          <w:w w:val="105"/>
          <w:sz w:val="15"/>
        </w:rPr>
        <w:t> </w:t>
      </w:r>
      <w:r>
        <w:rPr>
          <w:color w:val="231F20"/>
          <w:w w:val="105"/>
          <w:sz w:val="15"/>
        </w:rPr>
        <w:t>Options</w:t>
      </w:r>
      <w:r>
        <w:rPr>
          <w:color w:val="231F20"/>
          <w:spacing w:val="-9"/>
          <w:w w:val="105"/>
          <w:sz w:val="15"/>
        </w:rPr>
        <w:t> </w:t>
      </w:r>
      <w:r>
        <w:rPr>
          <w:color w:val="231F20"/>
          <w:w w:val="105"/>
          <w:sz w:val="15"/>
        </w:rPr>
        <w:t>granted</w:t>
      </w:r>
      <w:r>
        <w:rPr>
          <w:color w:val="231F20"/>
          <w:spacing w:val="-8"/>
          <w:w w:val="105"/>
          <w:sz w:val="15"/>
        </w:rPr>
        <w:t> </w:t>
      </w:r>
      <w:r>
        <w:rPr>
          <w:color w:val="231F20"/>
          <w:w w:val="105"/>
          <w:sz w:val="15"/>
        </w:rPr>
        <w:t>under</w:t>
      </w:r>
      <w:r>
        <w:rPr>
          <w:color w:val="231F20"/>
          <w:spacing w:val="-9"/>
          <w:w w:val="105"/>
          <w:sz w:val="15"/>
        </w:rPr>
        <w:t> </w:t>
      </w:r>
      <w:r>
        <w:rPr>
          <w:color w:val="231F20"/>
          <w:w w:val="105"/>
          <w:sz w:val="15"/>
        </w:rPr>
        <w:t>the</w:t>
      </w:r>
      <w:r>
        <w:rPr>
          <w:color w:val="231F20"/>
          <w:spacing w:val="-9"/>
          <w:w w:val="105"/>
          <w:sz w:val="15"/>
        </w:rPr>
        <w:t> </w:t>
      </w:r>
      <w:r>
        <w:rPr>
          <w:color w:val="231F20"/>
          <w:w w:val="105"/>
          <w:sz w:val="15"/>
        </w:rPr>
        <w:t>MSOP</w:t>
        <w:tab/>
        <w:tab/>
      </w:r>
      <w:r>
        <w:rPr>
          <w:color w:val="0083CA"/>
          <w:w w:val="110"/>
          <w:sz w:val="15"/>
        </w:rPr>
        <w:t>–</w:t>
        <w:tab/>
      </w:r>
      <w:r>
        <w:rPr>
          <w:color w:val="586670"/>
          <w:w w:val="105"/>
          <w:sz w:val="15"/>
        </w:rPr>
        <w:t>1 497 200 </w:t>
      </w:r>
      <w:r>
        <w:rPr>
          <w:color w:val="231F20"/>
          <w:w w:val="105"/>
          <w:sz w:val="15"/>
        </w:rPr>
        <w:t>Number</w:t>
      </w:r>
      <w:r>
        <w:rPr>
          <w:color w:val="231F20"/>
          <w:spacing w:val="-14"/>
          <w:w w:val="105"/>
          <w:sz w:val="15"/>
        </w:rPr>
        <w:t> </w:t>
      </w:r>
      <w:r>
        <w:rPr>
          <w:color w:val="231F20"/>
          <w:w w:val="105"/>
          <w:sz w:val="15"/>
        </w:rPr>
        <w:t>of</w:t>
      </w:r>
      <w:r>
        <w:rPr>
          <w:color w:val="231F20"/>
          <w:spacing w:val="-13"/>
          <w:w w:val="105"/>
          <w:sz w:val="15"/>
        </w:rPr>
        <w:t> </w:t>
      </w:r>
      <w:r>
        <w:rPr>
          <w:color w:val="231F20"/>
          <w:w w:val="105"/>
          <w:sz w:val="15"/>
        </w:rPr>
        <w:t>Performance</w:t>
      </w:r>
      <w:r>
        <w:rPr>
          <w:color w:val="231F20"/>
          <w:spacing w:val="-14"/>
          <w:w w:val="105"/>
          <w:sz w:val="15"/>
        </w:rPr>
        <w:t> </w:t>
      </w:r>
      <w:r>
        <w:rPr>
          <w:color w:val="231F20"/>
          <w:w w:val="105"/>
          <w:sz w:val="15"/>
        </w:rPr>
        <w:t>Share</w:t>
      </w:r>
      <w:r>
        <w:rPr>
          <w:color w:val="231F20"/>
          <w:spacing w:val="-13"/>
          <w:w w:val="105"/>
          <w:sz w:val="15"/>
        </w:rPr>
        <w:t> </w:t>
      </w:r>
      <w:r>
        <w:rPr>
          <w:color w:val="231F20"/>
          <w:w w:val="105"/>
          <w:sz w:val="15"/>
        </w:rPr>
        <w:t>Units</w:t>
      </w:r>
      <w:r>
        <w:rPr>
          <w:color w:val="231F20"/>
          <w:spacing w:val="-13"/>
          <w:w w:val="105"/>
          <w:sz w:val="15"/>
        </w:rPr>
        <w:t> </w:t>
      </w:r>
      <w:r>
        <w:rPr>
          <w:color w:val="231F20"/>
          <w:w w:val="105"/>
          <w:sz w:val="15"/>
        </w:rPr>
        <w:t>granted</w:t>
      </w:r>
      <w:r>
        <w:rPr>
          <w:color w:val="231F20"/>
          <w:spacing w:val="-14"/>
          <w:w w:val="105"/>
          <w:sz w:val="15"/>
        </w:rPr>
        <w:t> </w:t>
      </w:r>
      <w:r>
        <w:rPr>
          <w:color w:val="231F20"/>
          <w:w w:val="105"/>
          <w:sz w:val="15"/>
        </w:rPr>
        <w:t>under</w:t>
      </w:r>
      <w:r>
        <w:rPr>
          <w:color w:val="231F20"/>
          <w:spacing w:val="-13"/>
          <w:w w:val="105"/>
          <w:sz w:val="15"/>
        </w:rPr>
        <w:t> </w:t>
      </w:r>
      <w:r>
        <w:rPr>
          <w:color w:val="231F20"/>
          <w:w w:val="105"/>
          <w:sz w:val="15"/>
        </w:rPr>
        <w:t>the</w:t>
      </w:r>
      <w:r>
        <w:rPr>
          <w:color w:val="231F20"/>
          <w:spacing w:val="-13"/>
          <w:w w:val="105"/>
          <w:sz w:val="15"/>
        </w:rPr>
        <w:t> </w:t>
      </w:r>
      <w:r>
        <w:rPr>
          <w:color w:val="231F20"/>
          <w:w w:val="105"/>
          <w:sz w:val="15"/>
        </w:rPr>
        <w:t>PSUP</w:t>
        <w:tab/>
      </w:r>
      <w:r>
        <w:rPr>
          <w:color w:val="0083CA"/>
          <w:spacing w:val="-4"/>
          <w:w w:val="105"/>
          <w:sz w:val="15"/>
        </w:rPr>
        <w:t>219</w:t>
      </w:r>
      <w:r>
        <w:rPr>
          <w:color w:val="0083CA"/>
          <w:spacing w:val="-2"/>
          <w:w w:val="105"/>
          <w:sz w:val="15"/>
        </w:rPr>
        <w:t> </w:t>
      </w:r>
      <w:r>
        <w:rPr>
          <w:color w:val="0083CA"/>
          <w:spacing w:val="3"/>
          <w:w w:val="105"/>
          <w:sz w:val="15"/>
        </w:rPr>
        <w:t>838</w:t>
        <w:tab/>
        <w:tab/>
      </w:r>
      <w:r>
        <w:rPr>
          <w:color w:val="586670"/>
          <w:spacing w:val="-3"/>
          <w:w w:val="105"/>
          <w:sz w:val="15"/>
        </w:rPr>
        <w:t>122</w:t>
      </w:r>
      <w:r>
        <w:rPr>
          <w:color w:val="586670"/>
          <w:spacing w:val="1"/>
          <w:w w:val="105"/>
          <w:sz w:val="15"/>
        </w:rPr>
        <w:t> </w:t>
      </w:r>
      <w:r>
        <w:rPr>
          <w:color w:val="586670"/>
          <w:spacing w:val="2"/>
          <w:w w:val="105"/>
          <w:sz w:val="15"/>
        </w:rPr>
        <w:t>360</w:t>
      </w:r>
    </w:p>
    <w:p>
      <w:pPr>
        <w:tabs>
          <w:tab w:pos="8289" w:val="left" w:leader="none"/>
          <w:tab w:pos="10043" w:val="left" w:leader="none"/>
        </w:tabs>
        <w:spacing w:line="173" w:lineRule="exact" w:before="0" w:after="18"/>
        <w:ind w:left="106" w:right="0" w:firstLine="0"/>
        <w:jc w:val="left"/>
        <w:rPr>
          <w:sz w:val="15"/>
        </w:rPr>
      </w:pPr>
      <w:r>
        <w:rPr>
          <w:color w:val="231F20"/>
          <w:w w:val="105"/>
          <w:sz w:val="15"/>
        </w:rPr>
        <w:t>Number</w:t>
      </w:r>
      <w:r>
        <w:rPr>
          <w:color w:val="231F20"/>
          <w:spacing w:val="-14"/>
          <w:w w:val="105"/>
          <w:sz w:val="15"/>
        </w:rPr>
        <w:t> </w:t>
      </w:r>
      <w:r>
        <w:rPr>
          <w:color w:val="231F20"/>
          <w:w w:val="105"/>
          <w:sz w:val="15"/>
        </w:rPr>
        <w:t>of</w:t>
      </w:r>
      <w:r>
        <w:rPr>
          <w:color w:val="231F20"/>
          <w:spacing w:val="-13"/>
          <w:w w:val="105"/>
          <w:sz w:val="15"/>
        </w:rPr>
        <w:t> </w:t>
      </w:r>
      <w:r>
        <w:rPr>
          <w:color w:val="231F20"/>
          <w:w w:val="105"/>
          <w:sz w:val="15"/>
        </w:rPr>
        <w:t>Restricted</w:t>
      </w:r>
      <w:r>
        <w:rPr>
          <w:color w:val="231F20"/>
          <w:spacing w:val="-14"/>
          <w:w w:val="105"/>
          <w:sz w:val="15"/>
        </w:rPr>
        <w:t> </w:t>
      </w:r>
      <w:r>
        <w:rPr>
          <w:color w:val="231F20"/>
          <w:w w:val="105"/>
          <w:sz w:val="15"/>
        </w:rPr>
        <w:t>Stock</w:t>
      </w:r>
      <w:r>
        <w:rPr>
          <w:color w:val="231F20"/>
          <w:spacing w:val="-13"/>
          <w:w w:val="105"/>
          <w:sz w:val="15"/>
        </w:rPr>
        <w:t> </w:t>
      </w:r>
      <w:r>
        <w:rPr>
          <w:color w:val="231F20"/>
          <w:w w:val="105"/>
          <w:sz w:val="15"/>
        </w:rPr>
        <w:t>Units</w:t>
      </w:r>
      <w:r>
        <w:rPr>
          <w:color w:val="231F20"/>
          <w:spacing w:val="-14"/>
          <w:w w:val="105"/>
          <w:sz w:val="15"/>
        </w:rPr>
        <w:t> </w:t>
      </w:r>
      <w:r>
        <w:rPr>
          <w:color w:val="231F20"/>
          <w:w w:val="105"/>
          <w:sz w:val="15"/>
        </w:rPr>
        <w:t>granted</w:t>
      </w:r>
      <w:r>
        <w:rPr>
          <w:color w:val="231F20"/>
          <w:spacing w:val="-13"/>
          <w:w w:val="105"/>
          <w:sz w:val="15"/>
        </w:rPr>
        <w:t> </w:t>
      </w:r>
      <w:r>
        <w:rPr>
          <w:color w:val="231F20"/>
          <w:w w:val="105"/>
          <w:sz w:val="15"/>
        </w:rPr>
        <w:t>under</w:t>
      </w:r>
      <w:r>
        <w:rPr>
          <w:color w:val="231F20"/>
          <w:spacing w:val="-14"/>
          <w:w w:val="105"/>
          <w:sz w:val="15"/>
        </w:rPr>
        <w:t> </w:t>
      </w:r>
      <w:r>
        <w:rPr>
          <w:color w:val="231F20"/>
          <w:w w:val="105"/>
          <w:sz w:val="15"/>
        </w:rPr>
        <w:t>the</w:t>
      </w:r>
      <w:r>
        <w:rPr>
          <w:color w:val="231F20"/>
          <w:spacing w:val="-13"/>
          <w:w w:val="105"/>
          <w:sz w:val="15"/>
        </w:rPr>
        <w:t> </w:t>
      </w:r>
      <w:r>
        <w:rPr>
          <w:color w:val="231F20"/>
          <w:w w:val="105"/>
          <w:sz w:val="15"/>
        </w:rPr>
        <w:t>RSUP</w:t>
        <w:tab/>
      </w:r>
      <w:r>
        <w:rPr>
          <w:color w:val="0083CA"/>
          <w:w w:val="105"/>
          <w:sz w:val="15"/>
        </w:rPr>
        <w:t>4</w:t>
      </w:r>
      <w:r>
        <w:rPr>
          <w:color w:val="0083CA"/>
          <w:spacing w:val="-8"/>
          <w:w w:val="105"/>
          <w:sz w:val="15"/>
        </w:rPr>
        <w:t> </w:t>
      </w:r>
      <w:r>
        <w:rPr>
          <w:color w:val="0083CA"/>
          <w:w w:val="105"/>
          <w:sz w:val="15"/>
        </w:rPr>
        <w:t>730</w:t>
        <w:tab/>
      </w:r>
      <w:r>
        <w:rPr>
          <w:color w:val="586670"/>
          <w:w w:val="105"/>
          <w:sz w:val="15"/>
        </w:rPr>
        <w:t>5</w:t>
      </w:r>
      <w:r>
        <w:rPr>
          <w:color w:val="586670"/>
          <w:spacing w:val="-3"/>
          <w:w w:val="105"/>
          <w:sz w:val="15"/>
        </w:rPr>
        <w:t> </w:t>
      </w:r>
      <w:r>
        <w:rPr>
          <w:color w:val="586670"/>
          <w:spacing w:val="2"/>
          <w:w w:val="105"/>
          <w:sz w:val="15"/>
        </w:rPr>
        <w:t>450</w:t>
      </w:r>
    </w:p>
    <w:p>
      <w:pPr>
        <w:pStyle w:val="BodyText"/>
        <w:spacing w:line="20" w:lineRule="exact"/>
        <w:ind w:left="103"/>
        <w:rPr>
          <w:sz w:val="2"/>
        </w:rPr>
      </w:pPr>
      <w:r>
        <w:rPr>
          <w:sz w:val="2"/>
        </w:rPr>
        <w:pict>
          <v:group style="width:515.9500pt;height:.25pt;mso-position-horizontal-relative:char;mso-position-vertical-relative:line" coordorigin="0,0" coordsize="10319,5">
            <v:line style="position:absolute" from="8617,3" to="10318,3" stroked="true" strokeweight=".25pt" strokecolor="#8f999f">
              <v:stroke dashstyle="solid"/>
            </v:line>
            <v:line style="position:absolute" from="0,3" to="8561,3" stroked="true" strokeweight=".25pt" strokecolor="#8f999f">
              <v:stroke dashstyle="solid"/>
            </v:line>
          </v:group>
        </w:pict>
      </w:r>
      <w:r>
        <w:rPr>
          <w:sz w:val="2"/>
        </w:rPr>
      </w:r>
    </w:p>
    <w:p>
      <w:pPr>
        <w:pStyle w:val="BodyText"/>
        <w:spacing w:before="8"/>
        <w:rPr>
          <w:sz w:val="20"/>
        </w:rPr>
      </w:pPr>
    </w:p>
    <w:p>
      <w:pPr>
        <w:pStyle w:val="BodyText"/>
        <w:ind w:left="106"/>
      </w:pPr>
      <w:r>
        <w:rPr>
          <w:color w:val="586670"/>
          <w:w w:val="105"/>
        </w:rPr>
        <w:t>Explanations</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On</w:t>
      </w:r>
      <w:r>
        <w:rPr>
          <w:color w:val="231F20"/>
          <w:spacing w:val="-11"/>
          <w:w w:val="105"/>
          <w:sz w:val="18"/>
        </w:rPr>
        <w:t> </w:t>
      </w:r>
      <w:r>
        <w:rPr>
          <w:color w:val="231F20"/>
          <w:spacing w:val="-3"/>
          <w:w w:val="105"/>
          <w:sz w:val="18"/>
        </w:rPr>
        <w:t>31</w:t>
      </w:r>
      <w:r>
        <w:rPr>
          <w:color w:val="231F20"/>
          <w:spacing w:val="-10"/>
          <w:w w:val="105"/>
          <w:sz w:val="18"/>
        </w:rPr>
        <w:t> </w:t>
      </w:r>
      <w:r>
        <w:rPr>
          <w:color w:val="231F20"/>
          <w:w w:val="105"/>
          <w:sz w:val="18"/>
        </w:rPr>
        <w:t>December</w:t>
      </w:r>
      <w:r>
        <w:rPr>
          <w:color w:val="231F20"/>
          <w:spacing w:val="-10"/>
          <w:w w:val="105"/>
          <w:sz w:val="18"/>
        </w:rPr>
        <w:t> </w:t>
      </w:r>
      <w:r>
        <w:rPr>
          <w:color w:val="231F20"/>
          <w:spacing w:val="-4"/>
          <w:w w:val="105"/>
          <w:sz w:val="18"/>
        </w:rPr>
        <w:t>2013,</w:t>
      </w:r>
      <w:r>
        <w:rPr>
          <w:color w:val="231F20"/>
          <w:spacing w:val="-11"/>
          <w:w w:val="105"/>
          <w:sz w:val="18"/>
        </w:rPr>
        <w:t> </w:t>
      </w:r>
      <w:r>
        <w:rPr>
          <w:color w:val="231F20"/>
          <w:w w:val="105"/>
          <w:sz w:val="18"/>
        </w:rPr>
        <w:t>the</w:t>
      </w:r>
      <w:r>
        <w:rPr>
          <w:color w:val="231F20"/>
          <w:spacing w:val="-10"/>
          <w:w w:val="105"/>
          <w:sz w:val="18"/>
        </w:rPr>
        <w:t> </w:t>
      </w:r>
      <w:r>
        <w:rPr>
          <w:color w:val="231F20"/>
          <w:w w:val="105"/>
          <w:sz w:val="18"/>
        </w:rPr>
        <w:t>Executive</w:t>
      </w:r>
      <w:r>
        <w:rPr>
          <w:color w:val="231F20"/>
          <w:spacing w:val="-10"/>
          <w:w w:val="105"/>
          <w:sz w:val="18"/>
        </w:rPr>
        <w:t> </w:t>
      </w:r>
      <w:r>
        <w:rPr>
          <w:color w:val="231F20"/>
          <w:w w:val="105"/>
          <w:sz w:val="18"/>
        </w:rPr>
        <w:t>Board</w:t>
      </w:r>
      <w:r>
        <w:rPr>
          <w:color w:val="231F20"/>
          <w:spacing w:val="-11"/>
          <w:w w:val="105"/>
          <w:sz w:val="18"/>
        </w:rPr>
        <w:t> </w:t>
      </w:r>
      <w:r>
        <w:rPr>
          <w:color w:val="231F20"/>
          <w:w w:val="105"/>
          <w:sz w:val="18"/>
        </w:rPr>
        <w:t>consisted</w:t>
      </w:r>
      <w:r>
        <w:rPr>
          <w:color w:val="231F20"/>
          <w:spacing w:val="-10"/>
          <w:w w:val="105"/>
          <w:sz w:val="18"/>
        </w:rPr>
        <w:t> </w:t>
      </w:r>
      <w:r>
        <w:rPr>
          <w:color w:val="231F20"/>
          <w:w w:val="105"/>
          <w:sz w:val="18"/>
        </w:rPr>
        <w:t>of</w:t>
      </w:r>
      <w:r>
        <w:rPr>
          <w:color w:val="231F20"/>
          <w:spacing w:val="-10"/>
          <w:w w:val="105"/>
          <w:sz w:val="18"/>
        </w:rPr>
        <w:t> </w:t>
      </w:r>
      <w:r>
        <w:rPr>
          <w:color w:val="231F20"/>
          <w:spacing w:val="-5"/>
          <w:w w:val="105"/>
          <w:sz w:val="18"/>
        </w:rPr>
        <w:t>13</w:t>
      </w:r>
      <w:r>
        <w:rPr>
          <w:color w:val="231F20"/>
          <w:spacing w:val="-11"/>
          <w:w w:val="105"/>
          <w:sz w:val="18"/>
        </w:rPr>
        <w:t> </w:t>
      </w:r>
      <w:r>
        <w:rPr>
          <w:color w:val="231F20"/>
          <w:w w:val="105"/>
          <w:sz w:val="18"/>
        </w:rPr>
        <w:t>members.</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Mr</w:t>
      </w:r>
      <w:r>
        <w:rPr>
          <w:color w:val="231F20"/>
          <w:spacing w:val="-11"/>
          <w:w w:val="105"/>
          <w:sz w:val="18"/>
        </w:rPr>
        <w:t> </w:t>
      </w:r>
      <w:r>
        <w:rPr>
          <w:color w:val="231F20"/>
          <w:w w:val="105"/>
          <w:sz w:val="18"/>
        </w:rPr>
        <w:t>Marc</w:t>
      </w:r>
      <w:r>
        <w:rPr>
          <w:color w:val="231F20"/>
          <w:spacing w:val="-10"/>
          <w:w w:val="105"/>
          <w:sz w:val="18"/>
        </w:rPr>
        <w:t> </w:t>
      </w:r>
      <w:r>
        <w:rPr>
          <w:color w:val="231F20"/>
          <w:w w:val="105"/>
          <w:sz w:val="18"/>
        </w:rPr>
        <w:t>Caira</w:t>
      </w:r>
      <w:r>
        <w:rPr>
          <w:color w:val="231F20"/>
          <w:spacing w:val="-11"/>
          <w:w w:val="105"/>
          <w:sz w:val="18"/>
        </w:rPr>
        <w:t> </w:t>
      </w:r>
      <w:r>
        <w:rPr>
          <w:color w:val="231F20"/>
          <w:w w:val="105"/>
          <w:sz w:val="18"/>
        </w:rPr>
        <w:t>retired</w:t>
      </w:r>
      <w:r>
        <w:rPr>
          <w:color w:val="231F20"/>
          <w:spacing w:val="-10"/>
          <w:w w:val="105"/>
          <w:sz w:val="18"/>
        </w:rPr>
        <w:t> </w:t>
      </w:r>
      <w:r>
        <w:rPr>
          <w:color w:val="231F20"/>
          <w:w w:val="105"/>
          <w:sz w:val="18"/>
        </w:rPr>
        <w:t>on</w:t>
      </w:r>
      <w:r>
        <w:rPr>
          <w:color w:val="231F20"/>
          <w:spacing w:val="-11"/>
          <w:w w:val="105"/>
          <w:sz w:val="18"/>
        </w:rPr>
        <w:t> </w:t>
      </w:r>
      <w:r>
        <w:rPr>
          <w:color w:val="231F20"/>
          <w:w w:val="105"/>
          <w:sz w:val="18"/>
        </w:rPr>
        <w:t>1</w:t>
      </w:r>
      <w:r>
        <w:rPr>
          <w:color w:val="231F20"/>
          <w:spacing w:val="-10"/>
          <w:w w:val="105"/>
          <w:sz w:val="18"/>
        </w:rPr>
        <w:t> </w:t>
      </w:r>
      <w:r>
        <w:rPr>
          <w:color w:val="231F20"/>
          <w:w w:val="105"/>
          <w:sz w:val="18"/>
        </w:rPr>
        <w:t>May</w:t>
      </w:r>
      <w:r>
        <w:rPr>
          <w:color w:val="231F20"/>
          <w:spacing w:val="-11"/>
          <w:w w:val="105"/>
          <w:sz w:val="18"/>
        </w:rPr>
        <w:t> </w:t>
      </w:r>
      <w:r>
        <w:rPr>
          <w:color w:val="231F20"/>
          <w:spacing w:val="-4"/>
          <w:w w:val="105"/>
          <w:sz w:val="18"/>
        </w:rPr>
        <w:t>2013.</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Mr</w:t>
      </w:r>
      <w:r>
        <w:rPr>
          <w:color w:val="231F20"/>
          <w:spacing w:val="-11"/>
          <w:w w:val="105"/>
          <w:sz w:val="18"/>
        </w:rPr>
        <w:t> </w:t>
      </w:r>
      <w:r>
        <w:rPr>
          <w:color w:val="231F20"/>
          <w:w w:val="105"/>
          <w:sz w:val="18"/>
        </w:rPr>
        <w:t>Jean-Marc</w:t>
      </w:r>
      <w:r>
        <w:rPr>
          <w:color w:val="231F20"/>
          <w:spacing w:val="-10"/>
          <w:w w:val="105"/>
          <w:sz w:val="18"/>
        </w:rPr>
        <w:t> </w:t>
      </w:r>
      <w:r>
        <w:rPr>
          <w:color w:val="231F20"/>
          <w:w w:val="105"/>
          <w:sz w:val="18"/>
        </w:rPr>
        <w:t>Duvoisin</w:t>
      </w:r>
      <w:r>
        <w:rPr>
          <w:color w:val="231F20"/>
          <w:spacing w:val="-10"/>
          <w:w w:val="105"/>
          <w:sz w:val="18"/>
        </w:rPr>
        <w:t> </w:t>
      </w:r>
      <w:r>
        <w:rPr>
          <w:color w:val="231F20"/>
          <w:w w:val="105"/>
          <w:sz w:val="18"/>
        </w:rPr>
        <w:t>left</w:t>
      </w:r>
      <w:r>
        <w:rPr>
          <w:color w:val="231F20"/>
          <w:spacing w:val="-10"/>
          <w:w w:val="105"/>
          <w:sz w:val="18"/>
        </w:rPr>
        <w:t> </w:t>
      </w:r>
      <w:r>
        <w:rPr>
          <w:color w:val="231F20"/>
          <w:w w:val="105"/>
          <w:sz w:val="18"/>
        </w:rPr>
        <w:t>the</w:t>
      </w:r>
      <w:r>
        <w:rPr>
          <w:color w:val="231F20"/>
          <w:spacing w:val="-10"/>
          <w:w w:val="105"/>
          <w:sz w:val="18"/>
        </w:rPr>
        <w:t> </w:t>
      </w:r>
      <w:r>
        <w:rPr>
          <w:color w:val="231F20"/>
          <w:w w:val="105"/>
          <w:sz w:val="18"/>
        </w:rPr>
        <w:t>Executive</w:t>
      </w:r>
      <w:r>
        <w:rPr>
          <w:color w:val="231F20"/>
          <w:spacing w:val="-10"/>
          <w:w w:val="105"/>
          <w:sz w:val="18"/>
        </w:rPr>
        <w:t> </w:t>
      </w:r>
      <w:r>
        <w:rPr>
          <w:color w:val="231F20"/>
          <w:w w:val="105"/>
          <w:sz w:val="18"/>
        </w:rPr>
        <w:t>Board</w:t>
      </w:r>
      <w:r>
        <w:rPr>
          <w:color w:val="231F20"/>
          <w:spacing w:val="-10"/>
          <w:w w:val="105"/>
          <w:sz w:val="18"/>
        </w:rPr>
        <w:t> </w:t>
      </w:r>
      <w:r>
        <w:rPr>
          <w:color w:val="231F20"/>
          <w:w w:val="105"/>
          <w:sz w:val="18"/>
        </w:rPr>
        <w:t>on</w:t>
      </w:r>
      <w:r>
        <w:rPr>
          <w:color w:val="231F20"/>
          <w:spacing w:val="-10"/>
          <w:w w:val="105"/>
          <w:sz w:val="18"/>
        </w:rPr>
        <w:t> </w:t>
      </w:r>
      <w:r>
        <w:rPr>
          <w:color w:val="231F20"/>
          <w:w w:val="105"/>
          <w:sz w:val="18"/>
        </w:rPr>
        <w:t>1</w:t>
      </w:r>
      <w:r>
        <w:rPr>
          <w:color w:val="231F20"/>
          <w:spacing w:val="-10"/>
          <w:w w:val="105"/>
          <w:sz w:val="18"/>
        </w:rPr>
        <w:t> </w:t>
      </w:r>
      <w:r>
        <w:rPr>
          <w:color w:val="231F20"/>
          <w:w w:val="105"/>
          <w:sz w:val="18"/>
        </w:rPr>
        <w:t>March</w:t>
      </w:r>
      <w:r>
        <w:rPr>
          <w:color w:val="231F20"/>
          <w:spacing w:val="-10"/>
          <w:w w:val="105"/>
          <w:sz w:val="18"/>
        </w:rPr>
        <w:t> </w:t>
      </w:r>
      <w:r>
        <w:rPr>
          <w:color w:val="231F20"/>
          <w:spacing w:val="-4"/>
          <w:w w:val="105"/>
          <w:sz w:val="18"/>
        </w:rPr>
        <w:t>2013.</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Mr</w:t>
      </w:r>
      <w:r>
        <w:rPr>
          <w:color w:val="231F20"/>
          <w:spacing w:val="-11"/>
          <w:w w:val="105"/>
          <w:sz w:val="18"/>
        </w:rPr>
        <w:t> </w:t>
      </w:r>
      <w:r>
        <w:rPr>
          <w:color w:val="231F20"/>
          <w:w w:val="105"/>
          <w:sz w:val="18"/>
        </w:rPr>
        <w:t>Werner</w:t>
      </w:r>
      <w:r>
        <w:rPr>
          <w:color w:val="231F20"/>
          <w:spacing w:val="-11"/>
          <w:w w:val="105"/>
          <w:sz w:val="18"/>
        </w:rPr>
        <w:t> </w:t>
      </w:r>
      <w:r>
        <w:rPr>
          <w:color w:val="231F20"/>
          <w:w w:val="105"/>
          <w:sz w:val="18"/>
        </w:rPr>
        <w:t>Bauer</w:t>
      </w:r>
      <w:r>
        <w:rPr>
          <w:color w:val="231F20"/>
          <w:spacing w:val="-11"/>
          <w:w w:val="105"/>
          <w:sz w:val="18"/>
        </w:rPr>
        <w:t> </w:t>
      </w:r>
      <w:r>
        <w:rPr>
          <w:color w:val="231F20"/>
          <w:w w:val="105"/>
          <w:sz w:val="18"/>
        </w:rPr>
        <w:t>retired</w:t>
      </w:r>
      <w:r>
        <w:rPr>
          <w:color w:val="231F20"/>
          <w:spacing w:val="-10"/>
          <w:w w:val="105"/>
          <w:sz w:val="18"/>
        </w:rPr>
        <w:t> </w:t>
      </w:r>
      <w:r>
        <w:rPr>
          <w:color w:val="231F20"/>
          <w:w w:val="105"/>
          <w:sz w:val="18"/>
        </w:rPr>
        <w:t>on</w:t>
      </w:r>
      <w:r>
        <w:rPr>
          <w:color w:val="231F20"/>
          <w:spacing w:val="-11"/>
          <w:w w:val="105"/>
          <w:sz w:val="18"/>
        </w:rPr>
        <w:t> </w:t>
      </w:r>
      <w:r>
        <w:rPr>
          <w:color w:val="231F20"/>
          <w:w w:val="105"/>
          <w:sz w:val="18"/>
        </w:rPr>
        <w:t>1</w:t>
      </w:r>
      <w:r>
        <w:rPr>
          <w:color w:val="231F20"/>
          <w:spacing w:val="-11"/>
          <w:w w:val="105"/>
          <w:sz w:val="18"/>
        </w:rPr>
        <w:t> </w:t>
      </w:r>
      <w:r>
        <w:rPr>
          <w:color w:val="231F20"/>
          <w:w w:val="105"/>
          <w:sz w:val="18"/>
        </w:rPr>
        <w:t>September</w:t>
      </w:r>
      <w:r>
        <w:rPr>
          <w:color w:val="231F20"/>
          <w:spacing w:val="-10"/>
          <w:w w:val="105"/>
          <w:sz w:val="18"/>
        </w:rPr>
        <w:t> </w:t>
      </w:r>
      <w:r>
        <w:rPr>
          <w:color w:val="231F20"/>
          <w:spacing w:val="-4"/>
          <w:w w:val="105"/>
          <w:sz w:val="18"/>
        </w:rPr>
        <w:t>2013.</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Mr</w:t>
      </w:r>
      <w:r>
        <w:rPr>
          <w:color w:val="231F20"/>
          <w:spacing w:val="-11"/>
          <w:w w:val="105"/>
          <w:sz w:val="18"/>
        </w:rPr>
        <w:t> </w:t>
      </w:r>
      <w:r>
        <w:rPr>
          <w:color w:val="231F20"/>
          <w:w w:val="105"/>
          <w:sz w:val="18"/>
        </w:rPr>
        <w:t>John</w:t>
      </w:r>
      <w:r>
        <w:rPr>
          <w:color w:val="231F20"/>
          <w:spacing w:val="-11"/>
          <w:w w:val="105"/>
          <w:sz w:val="18"/>
        </w:rPr>
        <w:t> </w:t>
      </w:r>
      <w:r>
        <w:rPr>
          <w:color w:val="231F20"/>
          <w:w w:val="105"/>
          <w:sz w:val="18"/>
        </w:rPr>
        <w:t>J.</w:t>
      </w:r>
      <w:r>
        <w:rPr>
          <w:color w:val="231F20"/>
          <w:spacing w:val="-11"/>
          <w:w w:val="105"/>
          <w:sz w:val="18"/>
        </w:rPr>
        <w:t> </w:t>
      </w:r>
      <w:r>
        <w:rPr>
          <w:color w:val="231F20"/>
          <w:w w:val="105"/>
          <w:sz w:val="18"/>
        </w:rPr>
        <w:t>Harris</w:t>
      </w:r>
      <w:r>
        <w:rPr>
          <w:color w:val="231F20"/>
          <w:spacing w:val="-10"/>
          <w:w w:val="105"/>
          <w:sz w:val="18"/>
        </w:rPr>
        <w:t> </w:t>
      </w:r>
      <w:r>
        <w:rPr>
          <w:color w:val="231F20"/>
          <w:w w:val="105"/>
          <w:sz w:val="18"/>
        </w:rPr>
        <w:t>retired</w:t>
      </w:r>
      <w:r>
        <w:rPr>
          <w:color w:val="231F20"/>
          <w:spacing w:val="-11"/>
          <w:w w:val="105"/>
          <w:sz w:val="18"/>
        </w:rPr>
        <w:t> </w:t>
      </w:r>
      <w:r>
        <w:rPr>
          <w:color w:val="231F20"/>
          <w:w w:val="105"/>
          <w:sz w:val="18"/>
        </w:rPr>
        <w:t>on</w:t>
      </w:r>
      <w:r>
        <w:rPr>
          <w:color w:val="231F20"/>
          <w:spacing w:val="-11"/>
          <w:w w:val="105"/>
          <w:sz w:val="18"/>
        </w:rPr>
        <w:t> </w:t>
      </w:r>
      <w:r>
        <w:rPr>
          <w:color w:val="231F20"/>
          <w:w w:val="105"/>
          <w:sz w:val="18"/>
        </w:rPr>
        <w:t>1</w:t>
      </w:r>
      <w:r>
        <w:rPr>
          <w:color w:val="231F20"/>
          <w:spacing w:val="-10"/>
          <w:w w:val="105"/>
          <w:sz w:val="18"/>
        </w:rPr>
        <w:t> </w:t>
      </w:r>
      <w:r>
        <w:rPr>
          <w:color w:val="231F20"/>
          <w:w w:val="105"/>
          <w:sz w:val="18"/>
        </w:rPr>
        <w:t>December</w:t>
      </w:r>
      <w:r>
        <w:rPr>
          <w:color w:val="231F20"/>
          <w:spacing w:val="-11"/>
          <w:w w:val="105"/>
          <w:sz w:val="18"/>
        </w:rPr>
        <w:t> </w:t>
      </w:r>
      <w:r>
        <w:rPr>
          <w:color w:val="231F20"/>
          <w:spacing w:val="-4"/>
          <w:w w:val="105"/>
          <w:sz w:val="18"/>
        </w:rPr>
        <w:t>2013.</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Mr</w:t>
      </w:r>
      <w:r>
        <w:rPr>
          <w:color w:val="231F20"/>
          <w:spacing w:val="-9"/>
          <w:w w:val="105"/>
          <w:sz w:val="18"/>
        </w:rPr>
        <w:t> </w:t>
      </w:r>
      <w:r>
        <w:rPr>
          <w:color w:val="231F20"/>
          <w:w w:val="105"/>
          <w:sz w:val="18"/>
        </w:rPr>
        <w:t>Peter</w:t>
      </w:r>
      <w:r>
        <w:rPr>
          <w:color w:val="231F20"/>
          <w:spacing w:val="-8"/>
          <w:w w:val="105"/>
          <w:sz w:val="18"/>
        </w:rPr>
        <w:t> </w:t>
      </w:r>
      <w:r>
        <w:rPr>
          <w:color w:val="231F20"/>
          <w:w w:val="105"/>
          <w:sz w:val="18"/>
        </w:rPr>
        <w:t>R.</w:t>
      </w:r>
      <w:r>
        <w:rPr>
          <w:color w:val="231F20"/>
          <w:spacing w:val="-8"/>
          <w:w w:val="105"/>
          <w:sz w:val="18"/>
        </w:rPr>
        <w:t> </w:t>
      </w:r>
      <w:r>
        <w:rPr>
          <w:color w:val="231F20"/>
          <w:w w:val="105"/>
          <w:sz w:val="18"/>
        </w:rPr>
        <w:t>Vogt</w:t>
      </w:r>
      <w:r>
        <w:rPr>
          <w:color w:val="231F20"/>
          <w:spacing w:val="-8"/>
          <w:w w:val="105"/>
          <w:sz w:val="18"/>
        </w:rPr>
        <w:t> </w:t>
      </w:r>
      <w:r>
        <w:rPr>
          <w:color w:val="231F20"/>
          <w:w w:val="105"/>
          <w:sz w:val="18"/>
        </w:rPr>
        <w:t>was</w:t>
      </w:r>
      <w:r>
        <w:rPr>
          <w:color w:val="231F20"/>
          <w:spacing w:val="-8"/>
          <w:w w:val="105"/>
          <w:sz w:val="18"/>
        </w:rPr>
        <w:t> </w:t>
      </w:r>
      <w:r>
        <w:rPr>
          <w:color w:val="231F20"/>
          <w:w w:val="105"/>
          <w:sz w:val="18"/>
        </w:rPr>
        <w:t>appointed</w:t>
      </w:r>
      <w:r>
        <w:rPr>
          <w:color w:val="231F20"/>
          <w:spacing w:val="-8"/>
          <w:w w:val="105"/>
          <w:sz w:val="18"/>
        </w:rPr>
        <w:t> </w:t>
      </w:r>
      <w:r>
        <w:rPr>
          <w:color w:val="231F20"/>
          <w:w w:val="105"/>
          <w:sz w:val="18"/>
        </w:rPr>
        <w:t>member</w:t>
      </w:r>
      <w:r>
        <w:rPr>
          <w:color w:val="231F20"/>
          <w:spacing w:val="-8"/>
          <w:w w:val="105"/>
          <w:sz w:val="18"/>
        </w:rPr>
        <w:t> </w:t>
      </w:r>
      <w:r>
        <w:rPr>
          <w:color w:val="231F20"/>
          <w:w w:val="105"/>
          <w:sz w:val="18"/>
        </w:rPr>
        <w:t>of</w:t>
      </w:r>
      <w:r>
        <w:rPr>
          <w:color w:val="231F20"/>
          <w:spacing w:val="-8"/>
          <w:w w:val="105"/>
          <w:sz w:val="18"/>
        </w:rPr>
        <w:t> </w:t>
      </w:r>
      <w:r>
        <w:rPr>
          <w:color w:val="231F20"/>
          <w:w w:val="105"/>
          <w:sz w:val="18"/>
        </w:rPr>
        <w:t>the</w:t>
      </w:r>
      <w:r>
        <w:rPr>
          <w:color w:val="231F20"/>
          <w:spacing w:val="-8"/>
          <w:w w:val="105"/>
          <w:sz w:val="18"/>
        </w:rPr>
        <w:t> </w:t>
      </w:r>
      <w:r>
        <w:rPr>
          <w:color w:val="231F20"/>
          <w:w w:val="105"/>
          <w:sz w:val="18"/>
        </w:rPr>
        <w:t>Executive</w:t>
      </w:r>
      <w:r>
        <w:rPr>
          <w:color w:val="231F20"/>
          <w:spacing w:val="-8"/>
          <w:w w:val="105"/>
          <w:sz w:val="18"/>
        </w:rPr>
        <w:t> </w:t>
      </w:r>
      <w:r>
        <w:rPr>
          <w:color w:val="231F20"/>
          <w:w w:val="105"/>
          <w:sz w:val="18"/>
        </w:rPr>
        <w:t>Board</w:t>
      </w:r>
      <w:r>
        <w:rPr>
          <w:color w:val="231F20"/>
          <w:spacing w:val="-8"/>
          <w:w w:val="105"/>
          <w:sz w:val="18"/>
        </w:rPr>
        <w:t> </w:t>
      </w:r>
      <w:r>
        <w:rPr>
          <w:color w:val="231F20"/>
          <w:w w:val="105"/>
          <w:sz w:val="18"/>
        </w:rPr>
        <w:t>on</w:t>
      </w:r>
      <w:r>
        <w:rPr>
          <w:color w:val="231F20"/>
          <w:spacing w:val="-8"/>
          <w:w w:val="105"/>
          <w:sz w:val="18"/>
        </w:rPr>
        <w:t> </w:t>
      </w:r>
      <w:r>
        <w:rPr>
          <w:color w:val="231F20"/>
          <w:w w:val="105"/>
          <w:sz w:val="18"/>
        </w:rPr>
        <w:t>1</w:t>
      </w:r>
      <w:r>
        <w:rPr>
          <w:color w:val="231F20"/>
          <w:spacing w:val="-8"/>
          <w:w w:val="105"/>
          <w:sz w:val="18"/>
        </w:rPr>
        <w:t> </w:t>
      </w:r>
      <w:r>
        <w:rPr>
          <w:color w:val="231F20"/>
          <w:w w:val="105"/>
          <w:sz w:val="18"/>
        </w:rPr>
        <w:t>March</w:t>
      </w:r>
      <w:r>
        <w:rPr>
          <w:color w:val="231F20"/>
          <w:spacing w:val="-8"/>
          <w:w w:val="105"/>
          <w:sz w:val="18"/>
        </w:rPr>
        <w:t> </w:t>
      </w:r>
      <w:r>
        <w:rPr>
          <w:color w:val="231F20"/>
          <w:spacing w:val="-4"/>
          <w:w w:val="105"/>
          <w:sz w:val="18"/>
        </w:rPr>
        <w:t>2013.</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Mr</w:t>
      </w:r>
      <w:r>
        <w:rPr>
          <w:color w:val="231F20"/>
          <w:spacing w:val="-7"/>
          <w:w w:val="105"/>
          <w:sz w:val="18"/>
        </w:rPr>
        <w:t> </w:t>
      </w:r>
      <w:r>
        <w:rPr>
          <w:color w:val="231F20"/>
          <w:w w:val="105"/>
          <w:sz w:val="18"/>
        </w:rPr>
        <w:t>Martial</w:t>
      </w:r>
      <w:r>
        <w:rPr>
          <w:color w:val="231F20"/>
          <w:spacing w:val="-7"/>
          <w:w w:val="105"/>
          <w:sz w:val="18"/>
        </w:rPr>
        <w:t> </w:t>
      </w:r>
      <w:r>
        <w:rPr>
          <w:color w:val="231F20"/>
          <w:w w:val="105"/>
          <w:sz w:val="18"/>
        </w:rPr>
        <w:t>Rolland</w:t>
      </w:r>
      <w:r>
        <w:rPr>
          <w:color w:val="231F20"/>
          <w:spacing w:val="-6"/>
          <w:w w:val="105"/>
          <w:sz w:val="18"/>
        </w:rPr>
        <w:t> </w:t>
      </w:r>
      <w:r>
        <w:rPr>
          <w:color w:val="231F20"/>
          <w:w w:val="105"/>
          <w:sz w:val="18"/>
        </w:rPr>
        <w:t>was</w:t>
      </w:r>
      <w:r>
        <w:rPr>
          <w:color w:val="231F20"/>
          <w:spacing w:val="-7"/>
          <w:w w:val="105"/>
          <w:sz w:val="18"/>
        </w:rPr>
        <w:t> </w:t>
      </w:r>
      <w:r>
        <w:rPr>
          <w:color w:val="231F20"/>
          <w:w w:val="105"/>
          <w:sz w:val="18"/>
        </w:rPr>
        <w:t>appointed</w:t>
      </w:r>
      <w:r>
        <w:rPr>
          <w:color w:val="231F20"/>
          <w:spacing w:val="-7"/>
          <w:w w:val="105"/>
          <w:sz w:val="18"/>
        </w:rPr>
        <w:t> </w:t>
      </w:r>
      <w:r>
        <w:rPr>
          <w:color w:val="231F20"/>
          <w:w w:val="105"/>
          <w:sz w:val="18"/>
        </w:rPr>
        <w:t>member</w:t>
      </w:r>
      <w:r>
        <w:rPr>
          <w:color w:val="231F20"/>
          <w:spacing w:val="-6"/>
          <w:w w:val="105"/>
          <w:sz w:val="18"/>
        </w:rPr>
        <w:t> </w:t>
      </w:r>
      <w:r>
        <w:rPr>
          <w:color w:val="231F20"/>
          <w:w w:val="105"/>
          <w:sz w:val="18"/>
        </w:rPr>
        <w:t>of</w:t>
      </w:r>
      <w:r>
        <w:rPr>
          <w:color w:val="231F20"/>
          <w:spacing w:val="-7"/>
          <w:w w:val="105"/>
          <w:sz w:val="18"/>
        </w:rPr>
        <w:t> </w:t>
      </w:r>
      <w:r>
        <w:rPr>
          <w:color w:val="231F20"/>
          <w:w w:val="105"/>
          <w:sz w:val="18"/>
        </w:rPr>
        <w:t>the</w:t>
      </w:r>
      <w:r>
        <w:rPr>
          <w:color w:val="231F20"/>
          <w:spacing w:val="-7"/>
          <w:w w:val="105"/>
          <w:sz w:val="18"/>
        </w:rPr>
        <w:t> </w:t>
      </w:r>
      <w:r>
        <w:rPr>
          <w:color w:val="231F20"/>
          <w:w w:val="105"/>
          <w:sz w:val="18"/>
        </w:rPr>
        <w:t>Executive</w:t>
      </w:r>
      <w:r>
        <w:rPr>
          <w:color w:val="231F20"/>
          <w:spacing w:val="-6"/>
          <w:w w:val="105"/>
          <w:sz w:val="18"/>
        </w:rPr>
        <w:t> </w:t>
      </w:r>
      <w:r>
        <w:rPr>
          <w:color w:val="231F20"/>
          <w:w w:val="105"/>
          <w:sz w:val="18"/>
        </w:rPr>
        <w:t>Board</w:t>
      </w:r>
      <w:r>
        <w:rPr>
          <w:color w:val="231F20"/>
          <w:spacing w:val="-7"/>
          <w:w w:val="105"/>
          <w:sz w:val="18"/>
        </w:rPr>
        <w:t> </w:t>
      </w:r>
      <w:r>
        <w:rPr>
          <w:color w:val="231F20"/>
          <w:w w:val="105"/>
          <w:sz w:val="18"/>
        </w:rPr>
        <w:t>on</w:t>
      </w:r>
      <w:r>
        <w:rPr>
          <w:color w:val="231F20"/>
          <w:spacing w:val="-7"/>
          <w:w w:val="105"/>
          <w:sz w:val="18"/>
        </w:rPr>
        <w:t> </w:t>
      </w:r>
      <w:r>
        <w:rPr>
          <w:color w:val="231F20"/>
          <w:w w:val="105"/>
          <w:sz w:val="18"/>
        </w:rPr>
        <w:t>1</w:t>
      </w:r>
      <w:r>
        <w:rPr>
          <w:color w:val="231F20"/>
          <w:spacing w:val="-6"/>
          <w:w w:val="105"/>
          <w:sz w:val="18"/>
        </w:rPr>
        <w:t> </w:t>
      </w:r>
      <w:r>
        <w:rPr>
          <w:color w:val="231F20"/>
          <w:w w:val="105"/>
          <w:sz w:val="18"/>
        </w:rPr>
        <w:t>May</w:t>
      </w:r>
      <w:r>
        <w:rPr>
          <w:color w:val="231F20"/>
          <w:spacing w:val="-7"/>
          <w:w w:val="105"/>
          <w:sz w:val="18"/>
        </w:rPr>
        <w:t> </w:t>
      </w:r>
      <w:r>
        <w:rPr>
          <w:color w:val="231F20"/>
          <w:spacing w:val="-4"/>
          <w:w w:val="105"/>
          <w:sz w:val="18"/>
        </w:rPr>
        <w:t>2013.</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Mr</w:t>
      </w:r>
      <w:r>
        <w:rPr>
          <w:color w:val="231F20"/>
          <w:spacing w:val="-9"/>
          <w:w w:val="105"/>
          <w:sz w:val="18"/>
        </w:rPr>
        <w:t> </w:t>
      </w:r>
      <w:r>
        <w:rPr>
          <w:color w:val="231F20"/>
          <w:w w:val="105"/>
          <w:sz w:val="18"/>
        </w:rPr>
        <w:t>Stefan</w:t>
      </w:r>
      <w:r>
        <w:rPr>
          <w:color w:val="231F20"/>
          <w:spacing w:val="-9"/>
          <w:w w:val="105"/>
          <w:sz w:val="18"/>
        </w:rPr>
        <w:t> </w:t>
      </w:r>
      <w:r>
        <w:rPr>
          <w:color w:val="231F20"/>
          <w:w w:val="105"/>
          <w:sz w:val="18"/>
        </w:rPr>
        <w:t>Catsicas</w:t>
      </w:r>
      <w:r>
        <w:rPr>
          <w:color w:val="231F20"/>
          <w:spacing w:val="-9"/>
          <w:w w:val="105"/>
          <w:sz w:val="18"/>
        </w:rPr>
        <w:t> </w:t>
      </w:r>
      <w:r>
        <w:rPr>
          <w:color w:val="231F20"/>
          <w:w w:val="105"/>
          <w:sz w:val="18"/>
        </w:rPr>
        <w:t>was</w:t>
      </w:r>
      <w:r>
        <w:rPr>
          <w:color w:val="231F20"/>
          <w:spacing w:val="-9"/>
          <w:w w:val="105"/>
          <w:sz w:val="18"/>
        </w:rPr>
        <w:t> </w:t>
      </w:r>
      <w:r>
        <w:rPr>
          <w:color w:val="231F20"/>
          <w:w w:val="105"/>
          <w:sz w:val="18"/>
        </w:rPr>
        <w:t>appointed</w:t>
      </w:r>
      <w:r>
        <w:rPr>
          <w:color w:val="231F20"/>
          <w:spacing w:val="-9"/>
          <w:w w:val="105"/>
          <w:sz w:val="18"/>
        </w:rPr>
        <w:t> </w:t>
      </w:r>
      <w:r>
        <w:rPr>
          <w:color w:val="231F20"/>
          <w:w w:val="105"/>
          <w:sz w:val="18"/>
        </w:rPr>
        <w:t>member</w:t>
      </w:r>
      <w:r>
        <w:rPr>
          <w:color w:val="231F20"/>
          <w:spacing w:val="-9"/>
          <w:w w:val="105"/>
          <w:sz w:val="18"/>
        </w:rPr>
        <w:t> </w:t>
      </w:r>
      <w:r>
        <w:rPr>
          <w:color w:val="231F20"/>
          <w:w w:val="105"/>
          <w:sz w:val="18"/>
        </w:rPr>
        <w:t>of</w:t>
      </w:r>
      <w:r>
        <w:rPr>
          <w:color w:val="231F20"/>
          <w:spacing w:val="-9"/>
          <w:w w:val="105"/>
          <w:sz w:val="18"/>
        </w:rPr>
        <w:t> </w:t>
      </w:r>
      <w:r>
        <w:rPr>
          <w:color w:val="231F20"/>
          <w:w w:val="105"/>
          <w:sz w:val="18"/>
        </w:rPr>
        <w:t>the</w:t>
      </w:r>
      <w:r>
        <w:rPr>
          <w:color w:val="231F20"/>
          <w:spacing w:val="-9"/>
          <w:w w:val="105"/>
          <w:sz w:val="18"/>
        </w:rPr>
        <w:t> </w:t>
      </w:r>
      <w:r>
        <w:rPr>
          <w:color w:val="231F20"/>
          <w:w w:val="105"/>
          <w:sz w:val="18"/>
        </w:rPr>
        <w:t>Executive</w:t>
      </w:r>
      <w:r>
        <w:rPr>
          <w:color w:val="231F20"/>
          <w:spacing w:val="-9"/>
          <w:w w:val="105"/>
          <w:sz w:val="18"/>
        </w:rPr>
        <w:t> </w:t>
      </w:r>
      <w:r>
        <w:rPr>
          <w:color w:val="231F20"/>
          <w:w w:val="105"/>
          <w:sz w:val="18"/>
        </w:rPr>
        <w:t>Board</w:t>
      </w:r>
      <w:r>
        <w:rPr>
          <w:color w:val="231F20"/>
          <w:spacing w:val="-9"/>
          <w:w w:val="105"/>
          <w:sz w:val="18"/>
        </w:rPr>
        <w:t> </w:t>
      </w:r>
      <w:r>
        <w:rPr>
          <w:color w:val="231F20"/>
          <w:w w:val="105"/>
          <w:sz w:val="18"/>
        </w:rPr>
        <w:t>on</w:t>
      </w:r>
      <w:r>
        <w:rPr>
          <w:color w:val="231F20"/>
          <w:spacing w:val="-9"/>
          <w:w w:val="105"/>
          <w:sz w:val="18"/>
        </w:rPr>
        <w:t> </w:t>
      </w:r>
      <w:r>
        <w:rPr>
          <w:color w:val="231F20"/>
          <w:w w:val="105"/>
          <w:sz w:val="18"/>
        </w:rPr>
        <w:t>1</w:t>
      </w:r>
      <w:r>
        <w:rPr>
          <w:color w:val="231F20"/>
          <w:spacing w:val="-9"/>
          <w:w w:val="105"/>
          <w:sz w:val="18"/>
        </w:rPr>
        <w:t> </w:t>
      </w:r>
      <w:r>
        <w:rPr>
          <w:color w:val="231F20"/>
          <w:w w:val="105"/>
          <w:sz w:val="18"/>
        </w:rPr>
        <w:t>July</w:t>
      </w:r>
      <w:r>
        <w:rPr>
          <w:color w:val="231F20"/>
          <w:spacing w:val="-9"/>
          <w:w w:val="105"/>
          <w:sz w:val="18"/>
        </w:rPr>
        <w:t> </w:t>
      </w:r>
      <w:r>
        <w:rPr>
          <w:color w:val="231F20"/>
          <w:spacing w:val="-4"/>
          <w:w w:val="105"/>
          <w:sz w:val="18"/>
        </w:rPr>
        <w:t>2013.</w:t>
      </w:r>
    </w:p>
    <w:p>
      <w:pPr>
        <w:pStyle w:val="ListParagraph"/>
        <w:numPr>
          <w:ilvl w:val="0"/>
          <w:numId w:val="11"/>
        </w:numPr>
        <w:tabs>
          <w:tab w:pos="334" w:val="left" w:leader="none"/>
        </w:tabs>
        <w:spacing w:line="240" w:lineRule="auto" w:before="31" w:after="0"/>
        <w:ind w:left="333" w:right="0" w:hanging="227"/>
        <w:jc w:val="left"/>
        <w:rPr>
          <w:sz w:val="18"/>
        </w:rPr>
      </w:pPr>
      <w:r>
        <w:rPr>
          <w:color w:val="231F20"/>
          <w:w w:val="105"/>
          <w:sz w:val="18"/>
        </w:rPr>
        <w:t>Mr</w:t>
      </w:r>
      <w:r>
        <w:rPr>
          <w:color w:val="231F20"/>
          <w:spacing w:val="-10"/>
          <w:w w:val="105"/>
          <w:sz w:val="18"/>
        </w:rPr>
        <w:t> </w:t>
      </w:r>
      <w:r>
        <w:rPr>
          <w:color w:val="231F20"/>
          <w:w w:val="105"/>
          <w:sz w:val="18"/>
        </w:rPr>
        <w:t>Marco</w:t>
      </w:r>
      <w:r>
        <w:rPr>
          <w:color w:val="231F20"/>
          <w:spacing w:val="-10"/>
          <w:w w:val="105"/>
          <w:sz w:val="18"/>
        </w:rPr>
        <w:t> </w:t>
      </w:r>
      <w:r>
        <w:rPr>
          <w:color w:val="231F20"/>
          <w:w w:val="105"/>
          <w:sz w:val="18"/>
        </w:rPr>
        <w:t>Settembri</w:t>
      </w:r>
      <w:r>
        <w:rPr>
          <w:color w:val="231F20"/>
          <w:spacing w:val="-10"/>
          <w:w w:val="105"/>
          <w:sz w:val="18"/>
        </w:rPr>
        <w:t> </w:t>
      </w:r>
      <w:r>
        <w:rPr>
          <w:color w:val="231F20"/>
          <w:w w:val="105"/>
          <w:sz w:val="18"/>
        </w:rPr>
        <w:t>was</w:t>
      </w:r>
      <w:r>
        <w:rPr>
          <w:color w:val="231F20"/>
          <w:spacing w:val="-10"/>
          <w:w w:val="105"/>
          <w:sz w:val="18"/>
        </w:rPr>
        <w:t> </w:t>
      </w:r>
      <w:r>
        <w:rPr>
          <w:color w:val="231F20"/>
          <w:w w:val="105"/>
          <w:sz w:val="18"/>
        </w:rPr>
        <w:t>appointed</w:t>
      </w:r>
      <w:r>
        <w:rPr>
          <w:color w:val="231F20"/>
          <w:spacing w:val="-10"/>
          <w:w w:val="105"/>
          <w:sz w:val="18"/>
        </w:rPr>
        <w:t> </w:t>
      </w:r>
      <w:r>
        <w:rPr>
          <w:color w:val="231F20"/>
          <w:w w:val="105"/>
          <w:sz w:val="18"/>
        </w:rPr>
        <w:t>member</w:t>
      </w:r>
      <w:r>
        <w:rPr>
          <w:color w:val="231F20"/>
          <w:spacing w:val="-10"/>
          <w:w w:val="105"/>
          <w:sz w:val="18"/>
        </w:rPr>
        <w:t> </w:t>
      </w:r>
      <w:r>
        <w:rPr>
          <w:color w:val="231F20"/>
          <w:w w:val="105"/>
          <w:sz w:val="18"/>
        </w:rPr>
        <w:t>of</w:t>
      </w:r>
      <w:r>
        <w:rPr>
          <w:color w:val="231F20"/>
          <w:spacing w:val="-10"/>
          <w:w w:val="105"/>
          <w:sz w:val="18"/>
        </w:rPr>
        <w:t> </w:t>
      </w:r>
      <w:r>
        <w:rPr>
          <w:color w:val="231F20"/>
          <w:w w:val="105"/>
          <w:sz w:val="18"/>
        </w:rPr>
        <w:t>the</w:t>
      </w:r>
      <w:r>
        <w:rPr>
          <w:color w:val="231F20"/>
          <w:spacing w:val="-10"/>
          <w:w w:val="105"/>
          <w:sz w:val="18"/>
        </w:rPr>
        <w:t> </w:t>
      </w:r>
      <w:r>
        <w:rPr>
          <w:color w:val="231F20"/>
          <w:w w:val="105"/>
          <w:sz w:val="18"/>
        </w:rPr>
        <w:t>Executive</w:t>
      </w:r>
      <w:r>
        <w:rPr>
          <w:color w:val="231F20"/>
          <w:spacing w:val="-10"/>
          <w:w w:val="105"/>
          <w:sz w:val="18"/>
        </w:rPr>
        <w:t> </w:t>
      </w:r>
      <w:r>
        <w:rPr>
          <w:color w:val="231F20"/>
          <w:w w:val="105"/>
          <w:sz w:val="18"/>
        </w:rPr>
        <w:t>Board</w:t>
      </w:r>
      <w:r>
        <w:rPr>
          <w:color w:val="231F20"/>
          <w:spacing w:val="-10"/>
          <w:w w:val="105"/>
          <w:sz w:val="18"/>
        </w:rPr>
        <w:t> </w:t>
      </w:r>
      <w:r>
        <w:rPr>
          <w:color w:val="231F20"/>
          <w:w w:val="105"/>
          <w:sz w:val="18"/>
        </w:rPr>
        <w:t>on</w:t>
      </w:r>
      <w:r>
        <w:rPr>
          <w:color w:val="231F20"/>
          <w:spacing w:val="-10"/>
          <w:w w:val="105"/>
          <w:sz w:val="18"/>
        </w:rPr>
        <w:t> </w:t>
      </w:r>
      <w:r>
        <w:rPr>
          <w:color w:val="231F20"/>
          <w:w w:val="105"/>
          <w:sz w:val="18"/>
        </w:rPr>
        <w:t>1</w:t>
      </w:r>
      <w:r>
        <w:rPr>
          <w:color w:val="231F20"/>
          <w:spacing w:val="-10"/>
          <w:w w:val="105"/>
          <w:sz w:val="18"/>
        </w:rPr>
        <w:t> </w:t>
      </w:r>
      <w:r>
        <w:rPr>
          <w:color w:val="231F20"/>
          <w:w w:val="105"/>
          <w:sz w:val="18"/>
        </w:rPr>
        <w:t>December</w:t>
      </w:r>
      <w:r>
        <w:rPr>
          <w:color w:val="231F20"/>
          <w:spacing w:val="-9"/>
          <w:w w:val="105"/>
          <w:sz w:val="18"/>
        </w:rPr>
        <w:t> </w:t>
      </w:r>
      <w:r>
        <w:rPr>
          <w:color w:val="231F20"/>
          <w:spacing w:val="-4"/>
          <w:w w:val="105"/>
          <w:sz w:val="18"/>
        </w:rPr>
        <w:t>2013.</w:t>
      </w:r>
    </w:p>
    <w:p>
      <w:pPr>
        <w:pStyle w:val="ListParagraph"/>
        <w:numPr>
          <w:ilvl w:val="0"/>
          <w:numId w:val="11"/>
        </w:numPr>
        <w:tabs>
          <w:tab w:pos="334" w:val="left" w:leader="none"/>
        </w:tabs>
        <w:spacing w:line="276" w:lineRule="auto" w:before="31" w:after="0"/>
        <w:ind w:left="333" w:right="1903" w:hanging="227"/>
        <w:jc w:val="left"/>
        <w:rPr>
          <w:sz w:val="18"/>
        </w:rPr>
      </w:pPr>
      <w:r>
        <w:rPr>
          <w:color w:val="231F20"/>
          <w:sz w:val="18"/>
        </w:rPr>
        <w:t>Other benefits include car allowance, contribution towards health insurance premiums, long-term service awards and expatriate</w:t>
      </w:r>
      <w:r>
        <w:rPr>
          <w:color w:val="231F20"/>
          <w:spacing w:val="-24"/>
          <w:sz w:val="18"/>
        </w:rPr>
        <w:t> </w:t>
      </w:r>
      <w:r>
        <w:rPr>
          <w:color w:val="231F20"/>
          <w:sz w:val="18"/>
        </w:rPr>
        <w:t>benefits.</w:t>
      </w:r>
    </w:p>
    <w:p>
      <w:pPr>
        <w:pStyle w:val="ListParagraph"/>
        <w:numPr>
          <w:ilvl w:val="0"/>
          <w:numId w:val="11"/>
        </w:numPr>
        <w:tabs>
          <w:tab w:pos="334" w:val="left" w:leader="none"/>
        </w:tabs>
        <w:spacing w:line="276" w:lineRule="auto" w:before="0" w:after="0"/>
        <w:ind w:left="333" w:right="1588" w:hanging="227"/>
        <w:jc w:val="left"/>
        <w:rPr>
          <w:sz w:val="18"/>
        </w:rPr>
      </w:pPr>
      <w:r>
        <w:rPr>
          <w:color w:val="231F20"/>
          <w:sz w:val="18"/>
        </w:rPr>
        <w:t>Nestlé S.A. shares received as </w:t>
      </w:r>
      <w:r>
        <w:rPr>
          <w:color w:val="231F20"/>
          <w:spacing w:val="2"/>
          <w:sz w:val="18"/>
        </w:rPr>
        <w:t>part </w:t>
      </w:r>
      <w:r>
        <w:rPr>
          <w:color w:val="231F20"/>
          <w:sz w:val="18"/>
        </w:rPr>
        <w:t>of the Short-Term Bonus are valued at the average closing price of the last ten trading days of January </w:t>
      </w:r>
      <w:r>
        <w:rPr>
          <w:color w:val="231F20"/>
          <w:spacing w:val="-4"/>
          <w:sz w:val="18"/>
        </w:rPr>
        <w:t>2014, </w:t>
      </w:r>
      <w:r>
        <w:rPr>
          <w:color w:val="231F20"/>
          <w:sz w:val="18"/>
        </w:rPr>
        <w:t>discounted by 16.038% to account for the three-year blocking</w:t>
      </w:r>
      <w:r>
        <w:rPr>
          <w:color w:val="231F20"/>
          <w:spacing w:val="47"/>
          <w:sz w:val="18"/>
        </w:rPr>
        <w:t> </w:t>
      </w:r>
      <w:r>
        <w:rPr>
          <w:color w:val="231F20"/>
          <w:sz w:val="18"/>
        </w:rPr>
        <w:t>period.</w:t>
      </w:r>
    </w:p>
    <w:p>
      <w:pPr>
        <w:pStyle w:val="ListParagraph"/>
        <w:numPr>
          <w:ilvl w:val="0"/>
          <w:numId w:val="11"/>
        </w:numPr>
        <w:tabs>
          <w:tab w:pos="334" w:val="left" w:leader="none"/>
        </w:tabs>
        <w:spacing w:line="208" w:lineRule="exact" w:before="0" w:after="0"/>
        <w:ind w:left="333" w:right="0" w:hanging="227"/>
        <w:jc w:val="left"/>
        <w:rPr>
          <w:sz w:val="18"/>
        </w:rPr>
      </w:pPr>
      <w:r>
        <w:rPr>
          <w:color w:val="231F20"/>
          <w:sz w:val="18"/>
        </w:rPr>
        <w:t>Performance Share Units granted in </w:t>
      </w:r>
      <w:r>
        <w:rPr>
          <w:color w:val="231F20"/>
          <w:spacing w:val="-4"/>
          <w:sz w:val="18"/>
        </w:rPr>
        <w:t>2013 </w:t>
      </w:r>
      <w:r>
        <w:rPr>
          <w:color w:val="231F20"/>
          <w:sz w:val="18"/>
        </w:rPr>
        <w:t>are disclosed at fair value at grant, which corresponds to CHF</w:t>
      </w:r>
      <w:r>
        <w:rPr>
          <w:color w:val="231F20"/>
          <w:spacing w:val="-26"/>
          <w:sz w:val="18"/>
        </w:rPr>
        <w:t> </w:t>
      </w:r>
      <w:r>
        <w:rPr>
          <w:color w:val="231F20"/>
          <w:sz w:val="18"/>
        </w:rPr>
        <w:t>64.44.</w:t>
      </w:r>
    </w:p>
    <w:p>
      <w:pPr>
        <w:pStyle w:val="ListParagraph"/>
        <w:numPr>
          <w:ilvl w:val="0"/>
          <w:numId w:val="11"/>
        </w:numPr>
        <w:tabs>
          <w:tab w:pos="334" w:val="left" w:leader="none"/>
        </w:tabs>
        <w:spacing w:line="240" w:lineRule="auto" w:before="30" w:after="0"/>
        <w:ind w:left="333" w:right="0" w:hanging="227"/>
        <w:jc w:val="left"/>
        <w:rPr>
          <w:sz w:val="18"/>
        </w:rPr>
      </w:pPr>
      <w:r>
        <w:rPr>
          <w:color w:val="231F20"/>
          <w:sz w:val="18"/>
        </w:rPr>
        <w:t>Restricted</w:t>
      </w:r>
      <w:r>
        <w:rPr>
          <w:color w:val="231F20"/>
          <w:spacing w:val="-4"/>
          <w:sz w:val="18"/>
        </w:rPr>
        <w:t> </w:t>
      </w:r>
      <w:r>
        <w:rPr>
          <w:color w:val="231F20"/>
          <w:sz w:val="18"/>
        </w:rPr>
        <w:t>Stock</w:t>
      </w:r>
      <w:r>
        <w:rPr>
          <w:color w:val="231F20"/>
          <w:spacing w:val="-3"/>
          <w:sz w:val="18"/>
        </w:rPr>
        <w:t> </w:t>
      </w:r>
      <w:r>
        <w:rPr>
          <w:color w:val="231F20"/>
          <w:sz w:val="18"/>
        </w:rPr>
        <w:t>Units</w:t>
      </w:r>
      <w:r>
        <w:rPr>
          <w:color w:val="231F20"/>
          <w:spacing w:val="-3"/>
          <w:sz w:val="18"/>
        </w:rPr>
        <w:t> </w:t>
      </w:r>
      <w:r>
        <w:rPr>
          <w:color w:val="231F20"/>
          <w:sz w:val="18"/>
        </w:rPr>
        <w:t>granted</w:t>
      </w:r>
      <w:r>
        <w:rPr>
          <w:color w:val="231F20"/>
          <w:spacing w:val="-3"/>
          <w:sz w:val="18"/>
        </w:rPr>
        <w:t> </w:t>
      </w:r>
      <w:r>
        <w:rPr>
          <w:color w:val="231F20"/>
          <w:sz w:val="18"/>
        </w:rPr>
        <w:t>in</w:t>
      </w:r>
      <w:r>
        <w:rPr>
          <w:color w:val="231F20"/>
          <w:spacing w:val="-3"/>
          <w:sz w:val="18"/>
        </w:rPr>
        <w:t> </w:t>
      </w:r>
      <w:r>
        <w:rPr>
          <w:color w:val="231F20"/>
          <w:spacing w:val="-4"/>
          <w:sz w:val="18"/>
        </w:rPr>
        <w:t>2013</w:t>
      </w:r>
      <w:r>
        <w:rPr>
          <w:color w:val="231F20"/>
          <w:spacing w:val="-3"/>
          <w:sz w:val="18"/>
        </w:rPr>
        <w:t> </w:t>
      </w:r>
      <w:r>
        <w:rPr>
          <w:color w:val="231F20"/>
          <w:sz w:val="18"/>
        </w:rPr>
        <w:t>are</w:t>
      </w:r>
      <w:r>
        <w:rPr>
          <w:color w:val="231F20"/>
          <w:spacing w:val="-4"/>
          <w:sz w:val="18"/>
        </w:rPr>
        <w:t> </w:t>
      </w:r>
      <w:r>
        <w:rPr>
          <w:color w:val="231F20"/>
          <w:sz w:val="18"/>
        </w:rPr>
        <w:t>disclosed</w:t>
      </w:r>
      <w:r>
        <w:rPr>
          <w:color w:val="231F20"/>
          <w:spacing w:val="-3"/>
          <w:sz w:val="18"/>
        </w:rPr>
        <w:t> </w:t>
      </w:r>
      <w:r>
        <w:rPr>
          <w:color w:val="231F20"/>
          <w:sz w:val="18"/>
        </w:rPr>
        <w:t>at</w:t>
      </w:r>
      <w:r>
        <w:rPr>
          <w:color w:val="231F20"/>
          <w:spacing w:val="-3"/>
          <w:sz w:val="18"/>
        </w:rPr>
        <w:t> </w:t>
      </w:r>
      <w:r>
        <w:rPr>
          <w:color w:val="231F20"/>
          <w:sz w:val="18"/>
        </w:rPr>
        <w:t>fair</w:t>
      </w:r>
      <w:r>
        <w:rPr>
          <w:color w:val="231F20"/>
          <w:spacing w:val="-3"/>
          <w:sz w:val="18"/>
        </w:rPr>
        <w:t> </w:t>
      </w:r>
      <w:r>
        <w:rPr>
          <w:color w:val="231F20"/>
          <w:sz w:val="18"/>
        </w:rPr>
        <w:t>value</w:t>
      </w:r>
      <w:r>
        <w:rPr>
          <w:color w:val="231F20"/>
          <w:spacing w:val="-3"/>
          <w:sz w:val="18"/>
        </w:rPr>
        <w:t> </w:t>
      </w:r>
      <w:r>
        <w:rPr>
          <w:color w:val="231F20"/>
          <w:sz w:val="18"/>
        </w:rPr>
        <w:t>at</w:t>
      </w:r>
      <w:r>
        <w:rPr>
          <w:color w:val="231F20"/>
          <w:spacing w:val="-3"/>
          <w:sz w:val="18"/>
        </w:rPr>
        <w:t> </w:t>
      </w:r>
      <w:r>
        <w:rPr>
          <w:color w:val="231F20"/>
          <w:sz w:val="18"/>
        </w:rPr>
        <w:t>grant,</w:t>
      </w:r>
      <w:r>
        <w:rPr>
          <w:color w:val="231F20"/>
          <w:spacing w:val="-4"/>
          <w:sz w:val="18"/>
        </w:rPr>
        <w:t> </w:t>
      </w:r>
      <w:r>
        <w:rPr>
          <w:color w:val="231F20"/>
          <w:sz w:val="18"/>
        </w:rPr>
        <w:t>which</w:t>
      </w:r>
      <w:r>
        <w:rPr>
          <w:color w:val="231F20"/>
          <w:spacing w:val="-3"/>
          <w:sz w:val="18"/>
        </w:rPr>
        <w:t> </w:t>
      </w:r>
      <w:r>
        <w:rPr>
          <w:color w:val="231F20"/>
          <w:sz w:val="18"/>
        </w:rPr>
        <w:t>correspond</w:t>
      </w:r>
      <w:r>
        <w:rPr>
          <w:color w:val="231F20"/>
          <w:spacing w:val="-3"/>
          <w:sz w:val="18"/>
        </w:rPr>
        <w:t> </w:t>
      </w:r>
      <w:r>
        <w:rPr>
          <w:color w:val="231F20"/>
          <w:sz w:val="18"/>
        </w:rPr>
        <w:t>to</w:t>
      </w:r>
      <w:r>
        <w:rPr>
          <w:color w:val="231F20"/>
          <w:spacing w:val="-3"/>
          <w:sz w:val="18"/>
        </w:rPr>
        <w:t> </w:t>
      </w:r>
      <w:r>
        <w:rPr>
          <w:color w:val="231F20"/>
          <w:sz w:val="18"/>
        </w:rPr>
        <w:t>CHF</w:t>
      </w:r>
      <w:r>
        <w:rPr>
          <w:color w:val="231F20"/>
          <w:spacing w:val="-3"/>
          <w:sz w:val="18"/>
        </w:rPr>
        <w:t> </w:t>
      </w:r>
      <w:r>
        <w:rPr>
          <w:color w:val="231F20"/>
          <w:sz w:val="18"/>
        </w:rPr>
        <w:t>58.58.</w:t>
      </w:r>
    </w:p>
    <w:p>
      <w:pPr>
        <w:pStyle w:val="ListParagraph"/>
        <w:numPr>
          <w:ilvl w:val="0"/>
          <w:numId w:val="11"/>
        </w:numPr>
        <w:tabs>
          <w:tab w:pos="334" w:val="left" w:leader="none"/>
        </w:tabs>
        <w:spacing w:line="276" w:lineRule="auto" w:before="31" w:after="0"/>
        <w:ind w:left="333" w:right="1971" w:hanging="227"/>
        <w:jc w:val="left"/>
        <w:rPr>
          <w:sz w:val="18"/>
        </w:rPr>
      </w:pPr>
      <w:r>
        <w:rPr>
          <w:color w:val="231F20"/>
          <w:w w:val="105"/>
          <w:sz w:val="18"/>
        </w:rPr>
        <w:t>The valuation of equity compensation plans mentioned in this report differs in some respect from compensation</w:t>
      </w:r>
      <w:r>
        <w:rPr>
          <w:color w:val="231F20"/>
          <w:spacing w:val="-14"/>
          <w:w w:val="105"/>
          <w:sz w:val="18"/>
        </w:rPr>
        <w:t> </w:t>
      </w:r>
      <w:r>
        <w:rPr>
          <w:color w:val="231F20"/>
          <w:w w:val="105"/>
          <w:sz w:val="18"/>
        </w:rPr>
        <w:t>disclosures</w:t>
      </w:r>
      <w:r>
        <w:rPr>
          <w:color w:val="231F20"/>
          <w:spacing w:val="-14"/>
          <w:w w:val="105"/>
          <w:sz w:val="18"/>
        </w:rPr>
        <w:t> </w:t>
      </w:r>
      <w:r>
        <w:rPr>
          <w:color w:val="231F20"/>
          <w:w w:val="105"/>
          <w:sz w:val="18"/>
        </w:rPr>
        <w:t>in</w:t>
      </w:r>
      <w:r>
        <w:rPr>
          <w:color w:val="231F20"/>
          <w:spacing w:val="-14"/>
          <w:w w:val="105"/>
          <w:sz w:val="18"/>
        </w:rPr>
        <w:t> </w:t>
      </w:r>
      <w:r>
        <w:rPr>
          <w:color w:val="231F20"/>
          <w:w w:val="105"/>
          <w:sz w:val="18"/>
        </w:rPr>
        <w:t>Note</w:t>
      </w:r>
      <w:r>
        <w:rPr>
          <w:color w:val="231F20"/>
          <w:spacing w:val="-14"/>
          <w:w w:val="105"/>
          <w:sz w:val="18"/>
        </w:rPr>
        <w:t> </w:t>
      </w:r>
      <w:r>
        <w:rPr>
          <w:color w:val="231F20"/>
          <w:spacing w:val="-7"/>
          <w:w w:val="105"/>
          <w:sz w:val="18"/>
        </w:rPr>
        <w:t>12</w:t>
      </w:r>
      <w:r>
        <w:rPr>
          <w:color w:val="231F20"/>
          <w:spacing w:val="-14"/>
          <w:w w:val="105"/>
          <w:sz w:val="18"/>
        </w:rPr>
        <w:t> </w:t>
      </w:r>
      <w:r>
        <w:rPr>
          <w:color w:val="231F20"/>
          <w:w w:val="105"/>
          <w:sz w:val="18"/>
        </w:rPr>
        <w:t>of</w:t>
      </w:r>
      <w:r>
        <w:rPr>
          <w:color w:val="231F20"/>
          <w:spacing w:val="-14"/>
          <w:w w:val="105"/>
          <w:sz w:val="18"/>
        </w:rPr>
        <w:t> </w:t>
      </w:r>
      <w:r>
        <w:rPr>
          <w:color w:val="231F20"/>
          <w:w w:val="105"/>
          <w:sz w:val="18"/>
        </w:rPr>
        <w:t>the</w:t>
      </w:r>
      <w:r>
        <w:rPr>
          <w:color w:val="231F20"/>
          <w:spacing w:val="-14"/>
          <w:w w:val="105"/>
          <w:sz w:val="18"/>
        </w:rPr>
        <w:t> </w:t>
      </w:r>
      <w:r>
        <w:rPr>
          <w:color w:val="231F20"/>
          <w:w w:val="105"/>
          <w:sz w:val="18"/>
        </w:rPr>
        <w:t>Consolidated</w:t>
      </w:r>
      <w:r>
        <w:rPr>
          <w:color w:val="231F20"/>
          <w:spacing w:val="-14"/>
          <w:w w:val="105"/>
          <w:sz w:val="18"/>
        </w:rPr>
        <w:t> </w:t>
      </w:r>
      <w:r>
        <w:rPr>
          <w:color w:val="231F20"/>
          <w:w w:val="105"/>
          <w:sz w:val="18"/>
        </w:rPr>
        <w:t>Financial</w:t>
      </w:r>
      <w:r>
        <w:rPr>
          <w:color w:val="231F20"/>
          <w:spacing w:val="-14"/>
          <w:w w:val="105"/>
          <w:sz w:val="18"/>
        </w:rPr>
        <w:t> </w:t>
      </w:r>
      <w:r>
        <w:rPr>
          <w:color w:val="231F20"/>
          <w:w w:val="105"/>
          <w:sz w:val="18"/>
        </w:rPr>
        <w:t>Statements</w:t>
      </w:r>
      <w:r>
        <w:rPr>
          <w:color w:val="231F20"/>
          <w:spacing w:val="-14"/>
          <w:w w:val="105"/>
          <w:sz w:val="18"/>
        </w:rPr>
        <w:t> </w:t>
      </w:r>
      <w:r>
        <w:rPr>
          <w:color w:val="231F20"/>
          <w:w w:val="105"/>
          <w:sz w:val="18"/>
        </w:rPr>
        <w:t>of</w:t>
      </w:r>
      <w:r>
        <w:rPr>
          <w:color w:val="231F20"/>
          <w:spacing w:val="-14"/>
          <w:w w:val="105"/>
          <w:sz w:val="18"/>
        </w:rPr>
        <w:t> </w:t>
      </w:r>
      <w:r>
        <w:rPr>
          <w:color w:val="231F20"/>
          <w:w w:val="105"/>
          <w:sz w:val="18"/>
        </w:rPr>
        <w:t>the</w:t>
      </w:r>
      <w:r>
        <w:rPr>
          <w:color w:val="231F20"/>
          <w:spacing w:val="-13"/>
          <w:w w:val="105"/>
          <w:sz w:val="18"/>
        </w:rPr>
        <w:t> </w:t>
      </w:r>
      <w:r>
        <w:rPr>
          <w:color w:val="231F20"/>
          <w:w w:val="105"/>
          <w:sz w:val="18"/>
        </w:rPr>
        <w:t>Nestlé</w:t>
      </w:r>
      <w:r>
        <w:rPr>
          <w:color w:val="231F20"/>
          <w:spacing w:val="-14"/>
          <w:w w:val="105"/>
          <w:sz w:val="18"/>
        </w:rPr>
        <w:t> </w:t>
      </w:r>
      <w:r>
        <w:rPr>
          <w:color w:val="231F20"/>
          <w:w w:val="105"/>
          <w:sz w:val="18"/>
        </w:rPr>
        <w:t>Group</w:t>
      </w:r>
      <w:r>
        <w:rPr>
          <w:color w:val="231F20"/>
          <w:spacing w:val="-14"/>
          <w:w w:val="105"/>
          <w:sz w:val="18"/>
        </w:rPr>
        <w:t> </w:t>
      </w:r>
      <w:r>
        <w:rPr>
          <w:color w:val="231F20"/>
          <w:spacing w:val="-4"/>
          <w:w w:val="105"/>
          <w:sz w:val="18"/>
        </w:rPr>
        <w:t>2013, </w:t>
      </w:r>
      <w:r>
        <w:rPr>
          <w:color w:val="231F20"/>
          <w:w w:val="105"/>
          <w:sz w:val="18"/>
        </w:rPr>
        <w:t>which</w:t>
      </w:r>
      <w:r>
        <w:rPr>
          <w:color w:val="231F20"/>
          <w:spacing w:val="-15"/>
          <w:w w:val="105"/>
          <w:sz w:val="18"/>
        </w:rPr>
        <w:t> </w:t>
      </w:r>
      <w:r>
        <w:rPr>
          <w:color w:val="231F20"/>
          <w:w w:val="105"/>
          <w:sz w:val="18"/>
        </w:rPr>
        <w:t>have</w:t>
      </w:r>
      <w:r>
        <w:rPr>
          <w:color w:val="231F20"/>
          <w:spacing w:val="-15"/>
          <w:w w:val="105"/>
          <w:sz w:val="18"/>
        </w:rPr>
        <w:t> </w:t>
      </w:r>
      <w:r>
        <w:rPr>
          <w:color w:val="231F20"/>
          <w:w w:val="105"/>
          <w:sz w:val="18"/>
        </w:rPr>
        <w:t>been</w:t>
      </w:r>
      <w:r>
        <w:rPr>
          <w:color w:val="231F20"/>
          <w:spacing w:val="-15"/>
          <w:w w:val="105"/>
          <w:sz w:val="18"/>
        </w:rPr>
        <w:t> </w:t>
      </w:r>
      <w:r>
        <w:rPr>
          <w:color w:val="231F20"/>
          <w:w w:val="105"/>
          <w:sz w:val="18"/>
        </w:rPr>
        <w:t>prepared</w:t>
      </w:r>
      <w:r>
        <w:rPr>
          <w:color w:val="231F20"/>
          <w:spacing w:val="-14"/>
          <w:w w:val="105"/>
          <w:sz w:val="18"/>
        </w:rPr>
        <w:t> </w:t>
      </w:r>
      <w:r>
        <w:rPr>
          <w:color w:val="231F20"/>
          <w:w w:val="105"/>
          <w:sz w:val="18"/>
        </w:rPr>
        <w:t>in</w:t>
      </w:r>
      <w:r>
        <w:rPr>
          <w:color w:val="231F20"/>
          <w:spacing w:val="-15"/>
          <w:w w:val="105"/>
          <w:sz w:val="18"/>
        </w:rPr>
        <w:t> </w:t>
      </w:r>
      <w:r>
        <w:rPr>
          <w:color w:val="231F20"/>
          <w:w w:val="105"/>
          <w:sz w:val="18"/>
        </w:rPr>
        <w:t>accordance</w:t>
      </w:r>
      <w:r>
        <w:rPr>
          <w:color w:val="231F20"/>
          <w:spacing w:val="-15"/>
          <w:w w:val="105"/>
          <w:sz w:val="18"/>
        </w:rPr>
        <w:t> </w:t>
      </w:r>
      <w:r>
        <w:rPr>
          <w:color w:val="231F20"/>
          <w:w w:val="105"/>
          <w:sz w:val="18"/>
        </w:rPr>
        <w:t>with</w:t>
      </w:r>
      <w:r>
        <w:rPr>
          <w:color w:val="231F20"/>
          <w:spacing w:val="-15"/>
          <w:w w:val="105"/>
          <w:sz w:val="18"/>
        </w:rPr>
        <w:t> </w:t>
      </w:r>
      <w:r>
        <w:rPr>
          <w:color w:val="231F20"/>
          <w:w w:val="105"/>
          <w:sz w:val="18"/>
        </w:rPr>
        <w:t>International</w:t>
      </w:r>
      <w:r>
        <w:rPr>
          <w:color w:val="231F20"/>
          <w:spacing w:val="-14"/>
          <w:w w:val="105"/>
          <w:sz w:val="18"/>
        </w:rPr>
        <w:t> </w:t>
      </w:r>
      <w:r>
        <w:rPr>
          <w:color w:val="231F20"/>
          <w:w w:val="105"/>
          <w:sz w:val="18"/>
        </w:rPr>
        <w:t>Financial</w:t>
      </w:r>
      <w:r>
        <w:rPr>
          <w:color w:val="231F20"/>
          <w:spacing w:val="-15"/>
          <w:w w:val="105"/>
          <w:sz w:val="18"/>
        </w:rPr>
        <w:t> </w:t>
      </w:r>
      <w:r>
        <w:rPr>
          <w:color w:val="231F20"/>
          <w:w w:val="105"/>
          <w:sz w:val="18"/>
        </w:rPr>
        <w:t>Reporting</w:t>
      </w:r>
      <w:r>
        <w:rPr>
          <w:color w:val="231F20"/>
          <w:spacing w:val="-15"/>
          <w:w w:val="105"/>
          <w:sz w:val="18"/>
        </w:rPr>
        <w:t> </w:t>
      </w:r>
      <w:r>
        <w:rPr>
          <w:color w:val="231F20"/>
          <w:w w:val="105"/>
          <w:sz w:val="18"/>
        </w:rPr>
        <w:t>Standards</w:t>
      </w:r>
      <w:r>
        <w:rPr>
          <w:color w:val="231F20"/>
          <w:spacing w:val="-14"/>
          <w:w w:val="105"/>
          <w:sz w:val="18"/>
        </w:rPr>
        <w:t> </w:t>
      </w:r>
      <w:r>
        <w:rPr>
          <w:color w:val="231F20"/>
          <w:spacing w:val="-3"/>
          <w:w w:val="105"/>
          <w:sz w:val="18"/>
        </w:rPr>
        <w:t>(IFRS).</w:t>
      </w:r>
    </w:p>
    <w:p>
      <w:pPr>
        <w:pStyle w:val="ListParagraph"/>
        <w:numPr>
          <w:ilvl w:val="0"/>
          <w:numId w:val="11"/>
        </w:numPr>
        <w:tabs>
          <w:tab w:pos="334" w:val="left" w:leader="none"/>
        </w:tabs>
        <w:spacing w:line="208" w:lineRule="exact" w:before="0" w:after="0"/>
        <w:ind w:left="333" w:right="0" w:hanging="227"/>
        <w:jc w:val="left"/>
        <w:rPr>
          <w:sz w:val="18"/>
        </w:rPr>
      </w:pPr>
      <w:r>
        <w:rPr>
          <w:color w:val="231F20"/>
          <w:sz w:val="18"/>
        </w:rPr>
        <w:t>Please</w:t>
      </w:r>
      <w:r>
        <w:rPr>
          <w:color w:val="231F20"/>
          <w:spacing w:val="-6"/>
          <w:sz w:val="18"/>
        </w:rPr>
        <w:t> </w:t>
      </w:r>
      <w:r>
        <w:rPr>
          <w:color w:val="231F20"/>
          <w:sz w:val="18"/>
        </w:rPr>
        <w:t>also</w:t>
      </w:r>
      <w:r>
        <w:rPr>
          <w:color w:val="231F20"/>
          <w:spacing w:val="-5"/>
          <w:sz w:val="18"/>
        </w:rPr>
        <w:t> </w:t>
      </w:r>
      <w:r>
        <w:rPr>
          <w:color w:val="231F20"/>
          <w:sz w:val="18"/>
        </w:rPr>
        <w:t>refer</w:t>
      </w:r>
      <w:r>
        <w:rPr>
          <w:color w:val="231F20"/>
          <w:spacing w:val="-5"/>
          <w:sz w:val="18"/>
        </w:rPr>
        <w:t> </w:t>
      </w:r>
      <w:r>
        <w:rPr>
          <w:color w:val="231F20"/>
          <w:sz w:val="18"/>
        </w:rPr>
        <w:t>to</w:t>
      </w:r>
      <w:r>
        <w:rPr>
          <w:color w:val="231F20"/>
          <w:spacing w:val="-5"/>
          <w:sz w:val="18"/>
        </w:rPr>
        <w:t> </w:t>
      </w:r>
      <w:r>
        <w:rPr>
          <w:color w:val="231F20"/>
          <w:sz w:val="18"/>
        </w:rPr>
        <w:t>Note</w:t>
      </w:r>
      <w:r>
        <w:rPr>
          <w:color w:val="231F20"/>
          <w:spacing w:val="-5"/>
          <w:sz w:val="18"/>
        </w:rPr>
        <w:t> </w:t>
      </w:r>
      <w:r>
        <w:rPr>
          <w:color w:val="231F20"/>
          <w:spacing w:val="-9"/>
          <w:sz w:val="18"/>
        </w:rPr>
        <w:t>21.1</w:t>
      </w:r>
      <w:r>
        <w:rPr>
          <w:color w:val="231F20"/>
          <w:spacing w:val="-5"/>
          <w:sz w:val="18"/>
        </w:rPr>
        <w:t> </w:t>
      </w:r>
      <w:r>
        <w:rPr>
          <w:color w:val="231F20"/>
          <w:sz w:val="18"/>
        </w:rPr>
        <w:t>of</w:t>
      </w:r>
      <w:r>
        <w:rPr>
          <w:color w:val="231F20"/>
          <w:spacing w:val="-5"/>
          <w:sz w:val="18"/>
        </w:rPr>
        <w:t> </w:t>
      </w:r>
      <w:r>
        <w:rPr>
          <w:color w:val="231F20"/>
          <w:sz w:val="18"/>
        </w:rPr>
        <w:t>the</w:t>
      </w:r>
      <w:r>
        <w:rPr>
          <w:color w:val="231F20"/>
          <w:spacing w:val="-5"/>
          <w:sz w:val="18"/>
        </w:rPr>
        <w:t> </w:t>
      </w:r>
      <w:r>
        <w:rPr>
          <w:color w:val="231F20"/>
          <w:sz w:val="18"/>
        </w:rPr>
        <w:t>Consolidated</w:t>
      </w:r>
      <w:r>
        <w:rPr>
          <w:color w:val="231F20"/>
          <w:spacing w:val="-5"/>
          <w:sz w:val="18"/>
        </w:rPr>
        <w:t> </w:t>
      </w:r>
      <w:r>
        <w:rPr>
          <w:color w:val="231F20"/>
          <w:sz w:val="18"/>
        </w:rPr>
        <w:t>Financial</w:t>
      </w:r>
      <w:r>
        <w:rPr>
          <w:color w:val="231F20"/>
          <w:spacing w:val="-5"/>
          <w:sz w:val="18"/>
        </w:rPr>
        <w:t> </w:t>
      </w:r>
      <w:r>
        <w:rPr>
          <w:color w:val="231F20"/>
          <w:sz w:val="18"/>
        </w:rPr>
        <w:t>Statements</w:t>
      </w:r>
      <w:r>
        <w:rPr>
          <w:color w:val="231F20"/>
          <w:spacing w:val="-5"/>
          <w:sz w:val="18"/>
        </w:rPr>
        <w:t> </w:t>
      </w:r>
      <w:r>
        <w:rPr>
          <w:color w:val="231F20"/>
          <w:sz w:val="18"/>
        </w:rPr>
        <w:t>of</w:t>
      </w:r>
      <w:r>
        <w:rPr>
          <w:color w:val="231F20"/>
          <w:spacing w:val="-5"/>
          <w:sz w:val="18"/>
        </w:rPr>
        <w:t> </w:t>
      </w:r>
      <w:r>
        <w:rPr>
          <w:color w:val="231F20"/>
          <w:sz w:val="18"/>
        </w:rPr>
        <w:t>the</w:t>
      </w:r>
      <w:r>
        <w:rPr>
          <w:color w:val="231F20"/>
          <w:spacing w:val="-5"/>
          <w:sz w:val="18"/>
        </w:rPr>
        <w:t> </w:t>
      </w:r>
      <w:r>
        <w:rPr>
          <w:color w:val="231F20"/>
          <w:sz w:val="18"/>
        </w:rPr>
        <w:t>Nestlé</w:t>
      </w:r>
      <w:r>
        <w:rPr>
          <w:color w:val="231F20"/>
          <w:spacing w:val="-5"/>
          <w:sz w:val="18"/>
        </w:rPr>
        <w:t> </w:t>
      </w:r>
      <w:r>
        <w:rPr>
          <w:color w:val="231F20"/>
          <w:sz w:val="18"/>
        </w:rPr>
        <w:t>Group</w:t>
      </w:r>
      <w:r>
        <w:rPr>
          <w:color w:val="231F20"/>
          <w:spacing w:val="-5"/>
          <w:sz w:val="18"/>
        </w:rPr>
        <w:t> </w:t>
      </w:r>
      <w:r>
        <w:rPr>
          <w:color w:val="231F20"/>
          <w:spacing w:val="-4"/>
          <w:sz w:val="18"/>
        </w:rPr>
        <w:t>2013.</w:t>
      </w:r>
    </w:p>
    <w:p>
      <w:pPr>
        <w:spacing w:after="0" w:line="208" w:lineRule="exact"/>
        <w:jc w:val="left"/>
        <w:rPr>
          <w:sz w:val="18"/>
        </w:rPr>
        <w:sectPr>
          <w:pgSz w:w="11910" w:h="14750"/>
          <w:pgMar w:header="642" w:footer="509" w:top="840" w:bottom="700" w:left="460" w:right="460"/>
        </w:sectPr>
      </w:pPr>
    </w:p>
    <w:p>
      <w:pPr>
        <w:pStyle w:val="BodyText"/>
        <w:rPr>
          <w:sz w:val="20"/>
        </w:rPr>
      </w:pPr>
    </w:p>
    <w:p>
      <w:pPr>
        <w:pStyle w:val="BodyText"/>
        <w:rPr>
          <w:sz w:val="20"/>
        </w:rPr>
      </w:pPr>
    </w:p>
    <w:p>
      <w:pPr>
        <w:pStyle w:val="BodyText"/>
        <w:spacing w:before="11"/>
        <w:rPr>
          <w:sz w:val="15"/>
        </w:rPr>
      </w:pPr>
    </w:p>
    <w:p>
      <w:pPr>
        <w:pStyle w:val="BodyText"/>
        <w:spacing w:before="106"/>
        <w:ind w:left="560"/>
      </w:pPr>
      <w:bookmarkStart w:name="Highest total compensation for a member " w:id="33"/>
      <w:bookmarkEnd w:id="33"/>
      <w:r>
        <w:rPr/>
      </w:r>
      <w:bookmarkStart w:name="Shares and stock options held by members" w:id="34"/>
      <w:bookmarkEnd w:id="34"/>
      <w:r>
        <w:rPr/>
      </w:r>
      <w:r>
        <w:rPr>
          <w:color w:val="586670"/>
        </w:rPr>
        <w:t>Compensation for former members of the Executive Board</w:t>
      </w:r>
    </w:p>
    <w:p>
      <w:pPr>
        <w:pStyle w:val="BodyText"/>
        <w:spacing w:before="31"/>
        <w:ind w:left="560"/>
      </w:pPr>
      <w:r>
        <w:rPr>
          <w:color w:val="231F20"/>
          <w:w w:val="105"/>
        </w:rPr>
        <w:t>No compensation was paid in 2013 to former members of the Executive Board.</w:t>
      </w:r>
    </w:p>
    <w:p>
      <w:pPr>
        <w:pStyle w:val="BodyText"/>
        <w:spacing w:before="4"/>
        <w:rPr>
          <w:sz w:val="23"/>
        </w:rPr>
      </w:pPr>
    </w:p>
    <w:p>
      <w:pPr>
        <w:pStyle w:val="Heading3"/>
      </w:pPr>
      <w:r>
        <w:rPr>
          <w:color w:val="231F20"/>
          <w:w w:val="110"/>
        </w:rPr>
        <w:t>Highest total compensation for a member of the Executive Board</w:t>
      </w:r>
    </w:p>
    <w:p>
      <w:pPr>
        <w:pStyle w:val="BodyText"/>
        <w:spacing w:line="276" w:lineRule="auto" w:before="31"/>
        <w:ind w:left="560" w:right="1430"/>
      </w:pPr>
      <w:r>
        <w:rPr/>
        <w:pict>
          <v:line style="position:absolute;mso-position-horizontal-relative:page;mso-position-vertical-relative:paragraph;z-index:-114496" from="392.598511pt,57.338696pt" to="392.598511pt,162.220696pt" stroked="true" strokeweight="2.835pt" strokecolor="#ffffff">
            <v:stroke dashstyle="solid"/>
            <w10:wrap type="none"/>
          </v:line>
        </w:pict>
      </w:r>
      <w:r>
        <w:rPr/>
        <w:pict>
          <v:line style="position:absolute;mso-position-horizontal-relative:page;mso-position-vertical-relative:paragraph;z-index:-114472" from="480.472504pt,57.338696pt" to="480.472504pt,162.220696pt" stroked="true" strokeweight="2.835pt" strokecolor="#ffffff">
            <v:stroke dashstyle="solid"/>
            <w10:wrap type="none"/>
          </v:line>
        </w:pict>
      </w:r>
      <w:r>
        <w:rPr>
          <w:color w:val="231F20"/>
          <w:w w:val="105"/>
        </w:rPr>
        <w:t>In</w:t>
      </w:r>
      <w:r>
        <w:rPr>
          <w:color w:val="231F20"/>
          <w:spacing w:val="-13"/>
          <w:w w:val="105"/>
        </w:rPr>
        <w:t> </w:t>
      </w:r>
      <w:r>
        <w:rPr>
          <w:color w:val="231F20"/>
          <w:spacing w:val="-4"/>
          <w:w w:val="105"/>
        </w:rPr>
        <w:t>2013,</w:t>
      </w:r>
      <w:r>
        <w:rPr>
          <w:color w:val="231F20"/>
          <w:spacing w:val="-12"/>
          <w:w w:val="105"/>
        </w:rPr>
        <w:t> </w:t>
      </w:r>
      <w:r>
        <w:rPr>
          <w:color w:val="231F20"/>
          <w:w w:val="105"/>
        </w:rPr>
        <w:t>the</w:t>
      </w:r>
      <w:r>
        <w:rPr>
          <w:color w:val="231F20"/>
          <w:spacing w:val="-13"/>
          <w:w w:val="105"/>
        </w:rPr>
        <w:t> </w:t>
      </w:r>
      <w:r>
        <w:rPr>
          <w:color w:val="231F20"/>
          <w:w w:val="105"/>
        </w:rPr>
        <w:t>highest</w:t>
      </w:r>
      <w:r>
        <w:rPr>
          <w:color w:val="231F20"/>
          <w:spacing w:val="-12"/>
          <w:w w:val="105"/>
        </w:rPr>
        <w:t> </w:t>
      </w:r>
      <w:r>
        <w:rPr>
          <w:color w:val="231F20"/>
          <w:w w:val="105"/>
        </w:rPr>
        <w:t>total</w:t>
      </w:r>
      <w:r>
        <w:rPr>
          <w:color w:val="231F20"/>
          <w:spacing w:val="-12"/>
          <w:w w:val="105"/>
        </w:rPr>
        <w:t> </w:t>
      </w:r>
      <w:r>
        <w:rPr>
          <w:color w:val="231F20"/>
          <w:w w:val="105"/>
        </w:rPr>
        <w:t>compensation</w:t>
      </w:r>
      <w:r>
        <w:rPr>
          <w:color w:val="231F20"/>
          <w:spacing w:val="-13"/>
          <w:w w:val="105"/>
        </w:rPr>
        <w:t> </w:t>
      </w:r>
      <w:r>
        <w:rPr>
          <w:color w:val="231F20"/>
          <w:w w:val="105"/>
        </w:rPr>
        <w:t>for</w:t>
      </w:r>
      <w:r>
        <w:rPr>
          <w:color w:val="231F20"/>
          <w:spacing w:val="-12"/>
          <w:w w:val="105"/>
        </w:rPr>
        <w:t> </w:t>
      </w:r>
      <w:r>
        <w:rPr>
          <w:color w:val="231F20"/>
          <w:w w:val="105"/>
        </w:rPr>
        <w:t>a</w:t>
      </w:r>
      <w:r>
        <w:rPr>
          <w:color w:val="231F20"/>
          <w:spacing w:val="-12"/>
          <w:w w:val="105"/>
        </w:rPr>
        <w:t> </w:t>
      </w:r>
      <w:r>
        <w:rPr>
          <w:color w:val="231F20"/>
          <w:w w:val="105"/>
        </w:rPr>
        <w:t>member</w:t>
      </w:r>
      <w:r>
        <w:rPr>
          <w:color w:val="231F20"/>
          <w:spacing w:val="-13"/>
          <w:w w:val="105"/>
        </w:rPr>
        <w:t> </w:t>
      </w:r>
      <w:r>
        <w:rPr>
          <w:color w:val="231F20"/>
          <w:w w:val="105"/>
        </w:rPr>
        <w:t>of</w:t>
      </w:r>
      <w:r>
        <w:rPr>
          <w:color w:val="231F20"/>
          <w:spacing w:val="-12"/>
          <w:w w:val="105"/>
        </w:rPr>
        <w:t> </w:t>
      </w:r>
      <w:r>
        <w:rPr>
          <w:color w:val="231F20"/>
          <w:w w:val="105"/>
        </w:rPr>
        <w:t>the</w:t>
      </w:r>
      <w:r>
        <w:rPr>
          <w:color w:val="231F20"/>
          <w:spacing w:val="-12"/>
          <w:w w:val="105"/>
        </w:rPr>
        <w:t> </w:t>
      </w:r>
      <w:r>
        <w:rPr>
          <w:color w:val="231F20"/>
          <w:w w:val="105"/>
        </w:rPr>
        <w:t>Executive</w:t>
      </w:r>
      <w:r>
        <w:rPr>
          <w:color w:val="231F20"/>
          <w:spacing w:val="-13"/>
          <w:w w:val="105"/>
        </w:rPr>
        <w:t> </w:t>
      </w:r>
      <w:r>
        <w:rPr>
          <w:color w:val="231F20"/>
          <w:w w:val="105"/>
        </w:rPr>
        <w:t>Board</w:t>
      </w:r>
      <w:r>
        <w:rPr>
          <w:color w:val="231F20"/>
          <w:spacing w:val="-12"/>
          <w:w w:val="105"/>
        </w:rPr>
        <w:t> </w:t>
      </w:r>
      <w:r>
        <w:rPr>
          <w:color w:val="231F20"/>
          <w:w w:val="105"/>
        </w:rPr>
        <w:t>was</w:t>
      </w:r>
      <w:r>
        <w:rPr>
          <w:color w:val="231F20"/>
          <w:spacing w:val="-12"/>
          <w:w w:val="105"/>
        </w:rPr>
        <w:t> </w:t>
      </w:r>
      <w:r>
        <w:rPr>
          <w:color w:val="231F20"/>
          <w:w w:val="105"/>
        </w:rPr>
        <w:t>conferred</w:t>
      </w:r>
      <w:r>
        <w:rPr>
          <w:color w:val="231F20"/>
          <w:spacing w:val="-13"/>
          <w:w w:val="105"/>
        </w:rPr>
        <w:t> </w:t>
      </w:r>
      <w:r>
        <w:rPr>
          <w:color w:val="231F20"/>
          <w:w w:val="105"/>
        </w:rPr>
        <w:t>to</w:t>
      </w:r>
      <w:r>
        <w:rPr>
          <w:color w:val="231F20"/>
          <w:spacing w:val="-12"/>
          <w:w w:val="105"/>
        </w:rPr>
        <w:t> </w:t>
      </w:r>
      <w:r>
        <w:rPr>
          <w:color w:val="231F20"/>
          <w:w w:val="105"/>
        </w:rPr>
        <w:t>Paul</w:t>
      </w:r>
      <w:r>
        <w:rPr>
          <w:color w:val="231F20"/>
          <w:spacing w:val="-12"/>
          <w:w w:val="105"/>
        </w:rPr>
        <w:t> </w:t>
      </w:r>
      <w:r>
        <w:rPr>
          <w:color w:val="231F20"/>
          <w:w w:val="105"/>
        </w:rPr>
        <w:t>Bulcke, the</w:t>
      </w:r>
      <w:r>
        <w:rPr>
          <w:color w:val="231F20"/>
          <w:spacing w:val="-6"/>
          <w:w w:val="105"/>
        </w:rPr>
        <w:t> </w:t>
      </w:r>
      <w:r>
        <w:rPr>
          <w:color w:val="231F20"/>
          <w:w w:val="105"/>
        </w:rPr>
        <w:t>CEO.</w:t>
      </w:r>
    </w:p>
    <w:p>
      <w:pPr>
        <w:pStyle w:val="BodyText"/>
        <w:spacing w:before="1"/>
        <w:rPr>
          <w:sz w:val="19"/>
        </w:rPr>
      </w:pPr>
    </w:p>
    <w:tbl>
      <w:tblPr>
        <w:tblW w:w="0" w:type="auto"/>
        <w:jc w:val="left"/>
        <w:tblInd w:w="5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490"/>
        <w:gridCol w:w="1913"/>
        <w:gridCol w:w="1603"/>
        <w:gridCol w:w="1314"/>
      </w:tblGrid>
      <w:tr>
        <w:trPr>
          <w:trHeight w:val="219" w:hRule="atLeast"/>
        </w:trPr>
        <w:tc>
          <w:tcPr>
            <w:tcW w:w="5490" w:type="dxa"/>
            <w:tcBorders>
              <w:top w:val="single" w:sz="2" w:space="0" w:color="231F20"/>
            </w:tcBorders>
          </w:tcPr>
          <w:p>
            <w:pPr>
              <w:pStyle w:val="TableParagraph"/>
              <w:spacing w:line="240" w:lineRule="auto" w:before="0"/>
              <w:rPr>
                <w:rFonts w:ascii="Times New Roman"/>
                <w:sz w:val="14"/>
              </w:rPr>
            </w:pPr>
          </w:p>
        </w:tc>
        <w:tc>
          <w:tcPr>
            <w:tcW w:w="1913" w:type="dxa"/>
            <w:tcBorders>
              <w:top w:val="single" w:sz="2" w:space="0" w:color="231F20"/>
            </w:tcBorders>
          </w:tcPr>
          <w:p>
            <w:pPr>
              <w:pStyle w:val="TableParagraph"/>
              <w:spacing w:line="156" w:lineRule="exact"/>
              <w:ind w:right="603"/>
              <w:jc w:val="right"/>
              <w:rPr>
                <w:sz w:val="15"/>
              </w:rPr>
            </w:pPr>
            <w:r>
              <w:rPr>
                <w:color w:val="0083CA"/>
                <w:w w:val="105"/>
                <w:sz w:val="15"/>
              </w:rPr>
              <w:t>2013</w:t>
            </w:r>
          </w:p>
        </w:tc>
        <w:tc>
          <w:tcPr>
            <w:tcW w:w="1603" w:type="dxa"/>
            <w:tcBorders>
              <w:top w:val="single" w:sz="2" w:space="0" w:color="231F20"/>
            </w:tcBorders>
          </w:tcPr>
          <w:p>
            <w:pPr>
              <w:pStyle w:val="TableParagraph"/>
              <w:spacing w:line="240" w:lineRule="auto" w:before="0"/>
              <w:rPr>
                <w:rFonts w:ascii="Times New Roman"/>
                <w:sz w:val="14"/>
              </w:rPr>
            </w:pPr>
          </w:p>
        </w:tc>
        <w:tc>
          <w:tcPr>
            <w:tcW w:w="1314" w:type="dxa"/>
            <w:tcBorders>
              <w:top w:val="single" w:sz="2" w:space="0" w:color="231F20"/>
            </w:tcBorders>
          </w:tcPr>
          <w:p>
            <w:pPr>
              <w:pStyle w:val="TableParagraph"/>
              <w:spacing w:line="156" w:lineRule="exact"/>
              <w:ind w:right="9"/>
              <w:jc w:val="right"/>
              <w:rPr>
                <w:sz w:val="15"/>
              </w:rPr>
            </w:pPr>
            <w:r>
              <w:rPr>
                <w:color w:val="586670"/>
                <w:w w:val="105"/>
                <w:sz w:val="15"/>
              </w:rPr>
              <w:t>2012</w:t>
            </w:r>
          </w:p>
        </w:tc>
      </w:tr>
      <w:tr>
        <w:trPr>
          <w:trHeight w:val="177" w:hRule="atLeast"/>
        </w:trPr>
        <w:tc>
          <w:tcPr>
            <w:tcW w:w="5490" w:type="dxa"/>
          </w:tcPr>
          <w:p>
            <w:pPr>
              <w:pStyle w:val="TableParagraph"/>
              <w:spacing w:line="154" w:lineRule="exact" w:before="3"/>
              <w:ind w:right="442"/>
              <w:jc w:val="right"/>
              <w:rPr>
                <w:sz w:val="15"/>
              </w:rPr>
            </w:pPr>
            <w:r>
              <w:rPr>
                <w:color w:val="231F20"/>
                <w:w w:val="105"/>
                <w:sz w:val="15"/>
              </w:rPr>
              <w:t>Number</w:t>
            </w:r>
          </w:p>
        </w:tc>
        <w:tc>
          <w:tcPr>
            <w:tcW w:w="1913" w:type="dxa"/>
          </w:tcPr>
          <w:p>
            <w:pPr>
              <w:pStyle w:val="TableParagraph"/>
              <w:spacing w:line="154" w:lineRule="exact" w:before="3"/>
              <w:ind w:right="597"/>
              <w:jc w:val="right"/>
              <w:rPr>
                <w:sz w:val="15"/>
              </w:rPr>
            </w:pPr>
            <w:r>
              <w:rPr>
                <w:color w:val="231F20"/>
                <w:sz w:val="15"/>
              </w:rPr>
              <w:t>Value in CHF</w:t>
            </w:r>
          </w:p>
        </w:tc>
        <w:tc>
          <w:tcPr>
            <w:tcW w:w="1603" w:type="dxa"/>
          </w:tcPr>
          <w:p>
            <w:pPr>
              <w:pStyle w:val="TableParagraph"/>
              <w:spacing w:line="154" w:lineRule="exact" w:before="3"/>
              <w:ind w:left="598"/>
              <w:rPr>
                <w:sz w:val="15"/>
              </w:rPr>
            </w:pPr>
            <w:r>
              <w:rPr>
                <w:color w:val="231F20"/>
                <w:w w:val="105"/>
                <w:sz w:val="15"/>
              </w:rPr>
              <w:t>Number</w:t>
            </w:r>
          </w:p>
        </w:tc>
        <w:tc>
          <w:tcPr>
            <w:tcW w:w="1314" w:type="dxa"/>
          </w:tcPr>
          <w:p>
            <w:pPr>
              <w:pStyle w:val="TableParagraph"/>
              <w:spacing w:line="154" w:lineRule="exact" w:before="3"/>
              <w:ind w:right="1"/>
              <w:jc w:val="right"/>
              <w:rPr>
                <w:sz w:val="15"/>
              </w:rPr>
            </w:pPr>
            <w:r>
              <w:rPr>
                <w:color w:val="231F20"/>
                <w:sz w:val="15"/>
              </w:rPr>
              <w:t>Value in CHF</w:t>
            </w:r>
          </w:p>
        </w:tc>
      </w:tr>
    </w:tbl>
    <w:p>
      <w:pPr>
        <w:pStyle w:val="BodyText"/>
        <w:spacing w:before="11"/>
        <w:rPr>
          <w:sz w:val="6"/>
        </w:rPr>
      </w:pPr>
    </w:p>
    <w:tbl>
      <w:tblPr>
        <w:tblW w:w="0" w:type="auto"/>
        <w:jc w:val="left"/>
        <w:tblInd w:w="557" w:type="dxa"/>
        <w:tblBorders>
          <w:top w:val="single" w:sz="2" w:space="0" w:color="231F20"/>
          <w:left w:val="single" w:sz="2" w:space="0" w:color="231F20"/>
          <w:bottom w:val="single" w:sz="2" w:space="0" w:color="231F20"/>
          <w:right w:val="single" w:sz="2" w:space="0" w:color="231F20"/>
          <w:insideH w:val="single" w:sz="2" w:space="0" w:color="231F20"/>
          <w:insideV w:val="single" w:sz="2" w:space="0" w:color="231F20"/>
        </w:tblBorders>
        <w:tblLayout w:type="fixed"/>
        <w:tblCellMar>
          <w:top w:w="0" w:type="dxa"/>
          <w:left w:w="0" w:type="dxa"/>
          <w:bottom w:w="0" w:type="dxa"/>
          <w:right w:w="0" w:type="dxa"/>
        </w:tblCellMar>
        <w:tblLook w:val="01E0"/>
      </w:tblPr>
      <w:tblGrid>
        <w:gridCol w:w="4243"/>
        <w:gridCol w:w="1307"/>
        <w:gridCol w:w="1281"/>
        <w:gridCol w:w="1757"/>
        <w:gridCol w:w="1729"/>
      </w:tblGrid>
      <w:tr>
        <w:trPr>
          <w:trHeight w:val="232" w:hRule="atLeast"/>
        </w:trPr>
        <w:tc>
          <w:tcPr>
            <w:tcW w:w="4243" w:type="dxa"/>
            <w:tcBorders>
              <w:left w:val="nil"/>
              <w:bottom w:val="single" w:sz="2" w:space="0" w:color="8F999F"/>
              <w:right w:val="nil"/>
            </w:tcBorders>
          </w:tcPr>
          <w:p>
            <w:pPr>
              <w:pStyle w:val="TableParagraph"/>
              <w:spacing w:before="40"/>
              <w:ind w:left="2"/>
              <w:rPr>
                <w:sz w:val="15"/>
              </w:rPr>
            </w:pPr>
            <w:r>
              <w:rPr>
                <w:color w:val="231F20"/>
                <w:sz w:val="15"/>
              </w:rPr>
              <w:t>Annual Base Salary</w:t>
            </w:r>
          </w:p>
        </w:tc>
        <w:tc>
          <w:tcPr>
            <w:tcW w:w="1307" w:type="dxa"/>
            <w:tcBorders>
              <w:left w:val="nil"/>
              <w:bottom w:val="single" w:sz="2" w:space="0" w:color="8F999F"/>
              <w:right w:val="nil"/>
            </w:tcBorders>
          </w:tcPr>
          <w:p>
            <w:pPr>
              <w:pStyle w:val="TableParagraph"/>
              <w:spacing w:line="240" w:lineRule="auto" w:before="0"/>
              <w:rPr>
                <w:rFonts w:ascii="Times New Roman"/>
                <w:sz w:val="16"/>
              </w:rPr>
            </w:pPr>
          </w:p>
        </w:tc>
        <w:tc>
          <w:tcPr>
            <w:tcW w:w="1281" w:type="dxa"/>
            <w:tcBorders>
              <w:left w:val="nil"/>
              <w:bottom w:val="single" w:sz="2" w:space="0" w:color="8F999F"/>
              <w:right w:val="single" w:sz="24" w:space="0" w:color="FFFFFF"/>
            </w:tcBorders>
          </w:tcPr>
          <w:p>
            <w:pPr>
              <w:pStyle w:val="TableParagraph"/>
              <w:spacing w:before="40"/>
              <w:ind w:right="-15"/>
              <w:jc w:val="right"/>
              <w:rPr>
                <w:sz w:val="15"/>
              </w:rPr>
            </w:pPr>
            <w:r>
              <w:rPr>
                <w:color w:val="0083CA"/>
                <w:w w:val="105"/>
                <w:sz w:val="15"/>
              </w:rPr>
              <w:t>2 500 000</w:t>
            </w:r>
          </w:p>
        </w:tc>
        <w:tc>
          <w:tcPr>
            <w:tcW w:w="1757" w:type="dxa"/>
            <w:tcBorders>
              <w:left w:val="single" w:sz="24" w:space="0" w:color="FFFFFF"/>
              <w:bottom w:val="single" w:sz="2" w:space="0" w:color="8F999F"/>
              <w:right w:val="single" w:sz="24" w:space="0" w:color="FFFFFF"/>
            </w:tcBorders>
          </w:tcPr>
          <w:p>
            <w:pPr>
              <w:pStyle w:val="TableParagraph"/>
              <w:spacing w:line="240" w:lineRule="auto" w:before="0"/>
              <w:rPr>
                <w:rFonts w:ascii="Times New Roman"/>
                <w:sz w:val="16"/>
              </w:rPr>
            </w:pPr>
          </w:p>
        </w:tc>
        <w:tc>
          <w:tcPr>
            <w:tcW w:w="1729" w:type="dxa"/>
            <w:tcBorders>
              <w:left w:val="single" w:sz="24" w:space="0" w:color="FFFFFF"/>
              <w:bottom w:val="single" w:sz="2" w:space="0" w:color="8F999F"/>
              <w:right w:val="nil"/>
            </w:tcBorders>
          </w:tcPr>
          <w:p>
            <w:pPr>
              <w:pStyle w:val="TableParagraph"/>
              <w:spacing w:before="40"/>
              <w:ind w:right="-15"/>
              <w:jc w:val="right"/>
              <w:rPr>
                <w:sz w:val="15"/>
              </w:rPr>
            </w:pPr>
            <w:r>
              <w:rPr>
                <w:color w:val="586670"/>
                <w:w w:val="105"/>
                <w:sz w:val="15"/>
              </w:rPr>
              <w:t>2 375 000</w:t>
            </w:r>
          </w:p>
        </w:tc>
      </w:tr>
      <w:tr>
        <w:trPr>
          <w:trHeight w:val="235" w:hRule="atLeast"/>
        </w:trPr>
        <w:tc>
          <w:tcPr>
            <w:tcW w:w="4243" w:type="dxa"/>
            <w:tcBorders>
              <w:top w:val="single" w:sz="2" w:space="0" w:color="8F999F"/>
              <w:left w:val="nil"/>
              <w:bottom w:val="single" w:sz="2" w:space="0" w:color="8F999F"/>
              <w:right w:val="nil"/>
            </w:tcBorders>
          </w:tcPr>
          <w:p>
            <w:pPr>
              <w:pStyle w:val="TableParagraph"/>
              <w:ind w:left="2"/>
              <w:rPr>
                <w:sz w:val="15"/>
              </w:rPr>
            </w:pPr>
            <w:r>
              <w:rPr>
                <w:color w:val="231F20"/>
                <w:sz w:val="15"/>
              </w:rPr>
              <w:t>Short-Term Bonus (cash)</w:t>
            </w:r>
          </w:p>
        </w:tc>
        <w:tc>
          <w:tcPr>
            <w:tcW w:w="1307" w:type="dxa"/>
            <w:tcBorders>
              <w:top w:val="single" w:sz="2" w:space="0" w:color="8F999F"/>
              <w:left w:val="nil"/>
              <w:bottom w:val="single" w:sz="2" w:space="0" w:color="8F999F"/>
              <w:right w:val="nil"/>
            </w:tcBorders>
          </w:tcPr>
          <w:p>
            <w:pPr>
              <w:pStyle w:val="TableParagraph"/>
              <w:spacing w:line="240" w:lineRule="auto" w:before="0"/>
              <w:rPr>
                <w:rFonts w:ascii="Times New Roman"/>
                <w:sz w:val="16"/>
              </w:rPr>
            </w:pPr>
          </w:p>
        </w:tc>
        <w:tc>
          <w:tcPr>
            <w:tcW w:w="1281" w:type="dxa"/>
            <w:tcBorders>
              <w:top w:val="single" w:sz="2" w:space="0" w:color="8F999F"/>
              <w:left w:val="nil"/>
              <w:bottom w:val="single" w:sz="2" w:space="0" w:color="8F999F"/>
              <w:right w:val="single" w:sz="24" w:space="0" w:color="FFFFFF"/>
            </w:tcBorders>
          </w:tcPr>
          <w:p>
            <w:pPr>
              <w:pStyle w:val="TableParagraph"/>
              <w:ind w:right="-15"/>
              <w:jc w:val="right"/>
              <w:rPr>
                <w:sz w:val="15"/>
              </w:rPr>
            </w:pPr>
            <w:r>
              <w:rPr>
                <w:color w:val="0083CA"/>
                <w:w w:val="139"/>
                <w:sz w:val="15"/>
              </w:rPr>
              <w:t>–</w:t>
            </w:r>
          </w:p>
        </w:tc>
        <w:tc>
          <w:tcPr>
            <w:tcW w:w="1757" w:type="dxa"/>
            <w:tcBorders>
              <w:top w:val="single" w:sz="2" w:space="0" w:color="8F999F"/>
              <w:left w:val="single" w:sz="24" w:space="0" w:color="FFFFFF"/>
              <w:bottom w:val="single" w:sz="2" w:space="0" w:color="8F999F"/>
              <w:right w:val="single" w:sz="24" w:space="0" w:color="FFFFFF"/>
            </w:tcBorders>
          </w:tcPr>
          <w:p>
            <w:pPr>
              <w:pStyle w:val="TableParagraph"/>
              <w:spacing w:line="240" w:lineRule="auto" w:before="0"/>
              <w:rPr>
                <w:rFonts w:ascii="Times New Roman"/>
                <w:sz w:val="16"/>
              </w:rPr>
            </w:pPr>
          </w:p>
        </w:tc>
        <w:tc>
          <w:tcPr>
            <w:tcW w:w="1729" w:type="dxa"/>
            <w:tcBorders>
              <w:top w:val="single" w:sz="2" w:space="0" w:color="8F999F"/>
              <w:left w:val="single" w:sz="24" w:space="0" w:color="FFFFFF"/>
              <w:bottom w:val="single" w:sz="2" w:space="0" w:color="8F999F"/>
              <w:right w:val="nil"/>
            </w:tcBorders>
          </w:tcPr>
          <w:p>
            <w:pPr>
              <w:pStyle w:val="TableParagraph"/>
              <w:ind w:right="-15"/>
              <w:jc w:val="right"/>
              <w:rPr>
                <w:sz w:val="15"/>
              </w:rPr>
            </w:pPr>
            <w:r>
              <w:rPr>
                <w:color w:val="586670"/>
                <w:w w:val="105"/>
                <w:sz w:val="15"/>
              </w:rPr>
              <w:t>223 035</w:t>
            </w:r>
          </w:p>
        </w:tc>
      </w:tr>
      <w:tr>
        <w:trPr>
          <w:trHeight w:val="235" w:hRule="atLeast"/>
        </w:trPr>
        <w:tc>
          <w:tcPr>
            <w:tcW w:w="4243" w:type="dxa"/>
            <w:tcBorders>
              <w:top w:val="single" w:sz="2" w:space="0" w:color="8F999F"/>
              <w:left w:val="nil"/>
              <w:bottom w:val="single" w:sz="2" w:space="0" w:color="8F999F"/>
              <w:right w:val="nil"/>
            </w:tcBorders>
          </w:tcPr>
          <w:p>
            <w:pPr>
              <w:pStyle w:val="TableParagraph"/>
              <w:ind w:left="2"/>
              <w:rPr>
                <w:sz w:val="15"/>
              </w:rPr>
            </w:pPr>
            <w:r>
              <w:rPr>
                <w:color w:val="231F20"/>
                <w:sz w:val="15"/>
              </w:rPr>
              <w:t>Short-Term Bonus (discounted value of Nestlé S.A. share)</w:t>
            </w:r>
          </w:p>
        </w:tc>
        <w:tc>
          <w:tcPr>
            <w:tcW w:w="1307" w:type="dxa"/>
            <w:tcBorders>
              <w:top w:val="single" w:sz="2" w:space="0" w:color="8F999F"/>
              <w:left w:val="nil"/>
              <w:bottom w:val="single" w:sz="2" w:space="0" w:color="8F999F"/>
              <w:right w:val="nil"/>
            </w:tcBorders>
          </w:tcPr>
          <w:p>
            <w:pPr>
              <w:pStyle w:val="TableParagraph"/>
              <w:ind w:right="499"/>
              <w:jc w:val="right"/>
              <w:rPr>
                <w:sz w:val="15"/>
              </w:rPr>
            </w:pPr>
            <w:r>
              <w:rPr>
                <w:color w:val="0083CA"/>
                <w:w w:val="105"/>
                <w:sz w:val="15"/>
              </w:rPr>
              <w:t>53 045</w:t>
            </w:r>
          </w:p>
        </w:tc>
        <w:tc>
          <w:tcPr>
            <w:tcW w:w="1281" w:type="dxa"/>
            <w:tcBorders>
              <w:top w:val="single" w:sz="2" w:space="0" w:color="8F999F"/>
              <w:left w:val="nil"/>
              <w:bottom w:val="single" w:sz="2" w:space="0" w:color="8F999F"/>
              <w:right w:val="single" w:sz="24" w:space="0" w:color="FFFFFF"/>
            </w:tcBorders>
          </w:tcPr>
          <w:p>
            <w:pPr>
              <w:pStyle w:val="TableParagraph"/>
              <w:ind w:right="-15"/>
              <w:jc w:val="right"/>
              <w:rPr>
                <w:sz w:val="15"/>
              </w:rPr>
            </w:pPr>
            <w:r>
              <w:rPr>
                <w:color w:val="0083CA"/>
                <w:w w:val="105"/>
                <w:sz w:val="15"/>
              </w:rPr>
              <w:t>2 991 208</w:t>
            </w:r>
          </w:p>
        </w:tc>
        <w:tc>
          <w:tcPr>
            <w:tcW w:w="1757" w:type="dxa"/>
            <w:tcBorders>
              <w:top w:val="single" w:sz="2" w:space="0" w:color="8F999F"/>
              <w:left w:val="single" w:sz="24" w:space="0" w:color="FFFFFF"/>
              <w:bottom w:val="single" w:sz="2" w:space="0" w:color="8F999F"/>
              <w:right w:val="single" w:sz="24" w:space="0" w:color="FFFFFF"/>
            </w:tcBorders>
          </w:tcPr>
          <w:p>
            <w:pPr>
              <w:pStyle w:val="TableParagraph"/>
              <w:ind w:right="-15"/>
              <w:jc w:val="right"/>
              <w:rPr>
                <w:sz w:val="15"/>
              </w:rPr>
            </w:pPr>
            <w:r>
              <w:rPr>
                <w:color w:val="586670"/>
                <w:w w:val="105"/>
                <w:sz w:val="15"/>
              </w:rPr>
              <w:t>66 472</w:t>
            </w:r>
          </w:p>
        </w:tc>
        <w:tc>
          <w:tcPr>
            <w:tcW w:w="1729" w:type="dxa"/>
            <w:tcBorders>
              <w:top w:val="single" w:sz="2" w:space="0" w:color="8F999F"/>
              <w:left w:val="single" w:sz="24" w:space="0" w:color="FFFFFF"/>
              <w:bottom w:val="single" w:sz="2" w:space="0" w:color="8F999F"/>
              <w:right w:val="nil"/>
            </w:tcBorders>
          </w:tcPr>
          <w:p>
            <w:pPr>
              <w:pStyle w:val="TableParagraph"/>
              <w:ind w:right="-15"/>
              <w:jc w:val="right"/>
              <w:rPr>
                <w:sz w:val="15"/>
              </w:rPr>
            </w:pPr>
            <w:r>
              <w:rPr>
                <w:color w:val="586670"/>
                <w:w w:val="105"/>
                <w:sz w:val="15"/>
              </w:rPr>
              <w:t>3 558 246</w:t>
            </w:r>
          </w:p>
        </w:tc>
      </w:tr>
      <w:tr>
        <w:trPr>
          <w:trHeight w:val="235" w:hRule="atLeast"/>
        </w:trPr>
        <w:tc>
          <w:tcPr>
            <w:tcW w:w="4243" w:type="dxa"/>
            <w:tcBorders>
              <w:top w:val="single" w:sz="2" w:space="0" w:color="8F999F"/>
              <w:left w:val="nil"/>
              <w:bottom w:val="single" w:sz="2" w:space="0" w:color="8F999F"/>
              <w:right w:val="nil"/>
            </w:tcBorders>
          </w:tcPr>
          <w:p>
            <w:pPr>
              <w:pStyle w:val="TableParagraph"/>
              <w:ind w:left="2"/>
              <w:rPr>
                <w:sz w:val="15"/>
              </w:rPr>
            </w:pPr>
            <w:r>
              <w:rPr>
                <w:color w:val="231F20"/>
                <w:sz w:val="15"/>
              </w:rPr>
              <w:t>Stock Options (fair value at grant)</w:t>
            </w:r>
          </w:p>
        </w:tc>
        <w:tc>
          <w:tcPr>
            <w:tcW w:w="1307" w:type="dxa"/>
            <w:tcBorders>
              <w:top w:val="single" w:sz="2" w:space="0" w:color="8F999F"/>
              <w:left w:val="nil"/>
              <w:bottom w:val="single" w:sz="2" w:space="0" w:color="8F999F"/>
              <w:right w:val="nil"/>
            </w:tcBorders>
          </w:tcPr>
          <w:p>
            <w:pPr>
              <w:pStyle w:val="TableParagraph"/>
              <w:ind w:right="499"/>
              <w:jc w:val="right"/>
              <w:rPr>
                <w:sz w:val="15"/>
              </w:rPr>
            </w:pPr>
            <w:r>
              <w:rPr>
                <w:color w:val="0083CA"/>
                <w:w w:val="139"/>
                <w:sz w:val="15"/>
              </w:rPr>
              <w:t>–</w:t>
            </w:r>
          </w:p>
        </w:tc>
        <w:tc>
          <w:tcPr>
            <w:tcW w:w="1281" w:type="dxa"/>
            <w:tcBorders>
              <w:top w:val="single" w:sz="2" w:space="0" w:color="8F999F"/>
              <w:left w:val="nil"/>
              <w:bottom w:val="single" w:sz="2" w:space="0" w:color="8F999F"/>
              <w:right w:val="single" w:sz="24" w:space="0" w:color="FFFFFF"/>
            </w:tcBorders>
          </w:tcPr>
          <w:p>
            <w:pPr>
              <w:pStyle w:val="TableParagraph"/>
              <w:ind w:right="-15"/>
              <w:jc w:val="right"/>
              <w:rPr>
                <w:sz w:val="15"/>
              </w:rPr>
            </w:pPr>
            <w:r>
              <w:rPr>
                <w:color w:val="0083CA"/>
                <w:w w:val="139"/>
                <w:sz w:val="15"/>
              </w:rPr>
              <w:t>–</w:t>
            </w:r>
          </w:p>
        </w:tc>
        <w:tc>
          <w:tcPr>
            <w:tcW w:w="1757" w:type="dxa"/>
            <w:tcBorders>
              <w:top w:val="single" w:sz="2" w:space="0" w:color="8F999F"/>
              <w:left w:val="single" w:sz="24" w:space="0" w:color="FFFFFF"/>
              <w:bottom w:val="single" w:sz="2" w:space="0" w:color="8F999F"/>
              <w:right w:val="single" w:sz="24" w:space="0" w:color="FFFFFF"/>
            </w:tcBorders>
          </w:tcPr>
          <w:p>
            <w:pPr>
              <w:pStyle w:val="TableParagraph"/>
              <w:ind w:right="-15"/>
              <w:jc w:val="right"/>
              <w:rPr>
                <w:sz w:val="15"/>
              </w:rPr>
            </w:pPr>
            <w:r>
              <w:rPr>
                <w:color w:val="586670"/>
                <w:w w:val="105"/>
                <w:sz w:val="15"/>
              </w:rPr>
              <w:t>420 000</w:t>
            </w:r>
          </w:p>
        </w:tc>
        <w:tc>
          <w:tcPr>
            <w:tcW w:w="1729" w:type="dxa"/>
            <w:tcBorders>
              <w:top w:val="single" w:sz="2" w:space="0" w:color="8F999F"/>
              <w:left w:val="single" w:sz="24" w:space="0" w:color="FFFFFF"/>
              <w:bottom w:val="single" w:sz="2" w:space="0" w:color="8F999F"/>
              <w:right w:val="nil"/>
            </w:tcBorders>
          </w:tcPr>
          <w:p>
            <w:pPr>
              <w:pStyle w:val="TableParagraph"/>
              <w:ind w:right="-15"/>
              <w:jc w:val="right"/>
              <w:rPr>
                <w:sz w:val="15"/>
              </w:rPr>
            </w:pPr>
            <w:r>
              <w:rPr>
                <w:color w:val="586670"/>
                <w:w w:val="105"/>
                <w:sz w:val="15"/>
              </w:rPr>
              <w:t>1 906 800</w:t>
            </w:r>
          </w:p>
        </w:tc>
      </w:tr>
      <w:tr>
        <w:trPr>
          <w:trHeight w:val="235" w:hRule="atLeast"/>
        </w:trPr>
        <w:tc>
          <w:tcPr>
            <w:tcW w:w="4243" w:type="dxa"/>
            <w:tcBorders>
              <w:top w:val="single" w:sz="2" w:space="0" w:color="8F999F"/>
              <w:left w:val="nil"/>
              <w:bottom w:val="single" w:sz="2" w:space="0" w:color="8F999F"/>
              <w:right w:val="nil"/>
            </w:tcBorders>
          </w:tcPr>
          <w:p>
            <w:pPr>
              <w:pStyle w:val="TableParagraph"/>
              <w:ind w:left="2"/>
              <w:rPr>
                <w:sz w:val="15"/>
              </w:rPr>
            </w:pPr>
            <w:r>
              <w:rPr>
                <w:color w:val="231F20"/>
                <w:sz w:val="15"/>
              </w:rPr>
              <w:t>Performance Share Units (fair value at grant)</w:t>
            </w:r>
          </w:p>
        </w:tc>
        <w:tc>
          <w:tcPr>
            <w:tcW w:w="1307" w:type="dxa"/>
            <w:tcBorders>
              <w:top w:val="single" w:sz="2" w:space="0" w:color="8F999F"/>
              <w:left w:val="nil"/>
              <w:bottom w:val="single" w:sz="2" w:space="0" w:color="8F999F"/>
              <w:right w:val="nil"/>
            </w:tcBorders>
          </w:tcPr>
          <w:p>
            <w:pPr>
              <w:pStyle w:val="TableParagraph"/>
              <w:ind w:right="499"/>
              <w:jc w:val="right"/>
              <w:rPr>
                <w:sz w:val="15"/>
              </w:rPr>
            </w:pPr>
            <w:r>
              <w:rPr>
                <w:color w:val="0083CA"/>
                <w:w w:val="105"/>
                <w:sz w:val="15"/>
              </w:rPr>
              <w:t>58 600</w:t>
            </w:r>
          </w:p>
        </w:tc>
        <w:tc>
          <w:tcPr>
            <w:tcW w:w="1281" w:type="dxa"/>
            <w:tcBorders>
              <w:top w:val="single" w:sz="2" w:space="0" w:color="8F999F"/>
              <w:left w:val="nil"/>
              <w:bottom w:val="single" w:sz="2" w:space="0" w:color="8F999F"/>
              <w:right w:val="single" w:sz="24" w:space="0" w:color="FFFFFF"/>
            </w:tcBorders>
          </w:tcPr>
          <w:p>
            <w:pPr>
              <w:pStyle w:val="TableParagraph"/>
              <w:ind w:right="-15"/>
              <w:jc w:val="right"/>
              <w:rPr>
                <w:sz w:val="15"/>
              </w:rPr>
            </w:pPr>
            <w:r>
              <w:rPr>
                <w:color w:val="0083CA"/>
                <w:w w:val="105"/>
                <w:sz w:val="15"/>
              </w:rPr>
              <w:t>3 776 184</w:t>
            </w:r>
          </w:p>
        </w:tc>
        <w:tc>
          <w:tcPr>
            <w:tcW w:w="1757" w:type="dxa"/>
            <w:tcBorders>
              <w:top w:val="single" w:sz="2" w:space="0" w:color="8F999F"/>
              <w:left w:val="single" w:sz="24" w:space="0" w:color="FFFFFF"/>
              <w:bottom w:val="single" w:sz="2" w:space="0" w:color="8F999F"/>
              <w:right w:val="single" w:sz="24" w:space="0" w:color="FFFFFF"/>
            </w:tcBorders>
          </w:tcPr>
          <w:p>
            <w:pPr>
              <w:pStyle w:val="TableParagraph"/>
              <w:ind w:right="-15"/>
              <w:jc w:val="right"/>
              <w:rPr>
                <w:sz w:val="15"/>
              </w:rPr>
            </w:pPr>
            <w:r>
              <w:rPr>
                <w:color w:val="586670"/>
                <w:w w:val="105"/>
                <w:sz w:val="15"/>
              </w:rPr>
              <w:t>34 300</w:t>
            </w:r>
          </w:p>
        </w:tc>
        <w:tc>
          <w:tcPr>
            <w:tcW w:w="1729" w:type="dxa"/>
            <w:tcBorders>
              <w:top w:val="single" w:sz="2" w:space="0" w:color="8F999F"/>
              <w:left w:val="single" w:sz="24" w:space="0" w:color="FFFFFF"/>
              <w:bottom w:val="single" w:sz="2" w:space="0" w:color="8F999F"/>
              <w:right w:val="nil"/>
            </w:tcBorders>
          </w:tcPr>
          <w:p>
            <w:pPr>
              <w:pStyle w:val="TableParagraph"/>
              <w:ind w:right="-15"/>
              <w:jc w:val="right"/>
              <w:rPr>
                <w:sz w:val="15"/>
              </w:rPr>
            </w:pPr>
            <w:r>
              <w:rPr>
                <w:color w:val="586670"/>
                <w:w w:val="105"/>
                <w:sz w:val="15"/>
              </w:rPr>
              <w:t>1 873 466</w:t>
            </w:r>
          </w:p>
        </w:tc>
      </w:tr>
      <w:tr>
        <w:trPr>
          <w:trHeight w:val="235" w:hRule="atLeast"/>
        </w:trPr>
        <w:tc>
          <w:tcPr>
            <w:tcW w:w="4243" w:type="dxa"/>
            <w:tcBorders>
              <w:top w:val="single" w:sz="2" w:space="0" w:color="8F999F"/>
              <w:left w:val="nil"/>
              <w:bottom w:val="single" w:sz="2" w:space="0" w:color="8F999F"/>
              <w:right w:val="nil"/>
            </w:tcBorders>
          </w:tcPr>
          <w:p>
            <w:pPr>
              <w:pStyle w:val="TableParagraph"/>
              <w:ind w:left="2"/>
              <w:rPr>
                <w:sz w:val="15"/>
              </w:rPr>
            </w:pPr>
            <w:r>
              <w:rPr>
                <w:color w:val="231F20"/>
                <w:sz w:val="15"/>
              </w:rPr>
              <w:t>Other benefits</w:t>
            </w:r>
          </w:p>
        </w:tc>
        <w:tc>
          <w:tcPr>
            <w:tcW w:w="1307" w:type="dxa"/>
            <w:tcBorders>
              <w:top w:val="single" w:sz="2" w:space="0" w:color="8F999F"/>
              <w:left w:val="nil"/>
              <w:bottom w:val="single" w:sz="2" w:space="0" w:color="8F999F"/>
              <w:right w:val="nil"/>
            </w:tcBorders>
          </w:tcPr>
          <w:p>
            <w:pPr>
              <w:pStyle w:val="TableParagraph"/>
              <w:spacing w:line="240" w:lineRule="auto" w:before="0"/>
              <w:rPr>
                <w:rFonts w:ascii="Times New Roman"/>
                <w:sz w:val="16"/>
              </w:rPr>
            </w:pPr>
          </w:p>
        </w:tc>
        <w:tc>
          <w:tcPr>
            <w:tcW w:w="1281" w:type="dxa"/>
            <w:tcBorders>
              <w:top w:val="single" w:sz="2" w:space="0" w:color="8F999F"/>
              <w:left w:val="nil"/>
              <w:bottom w:val="single" w:sz="2" w:space="0" w:color="8F999F"/>
              <w:right w:val="single" w:sz="24" w:space="0" w:color="FFFFFF"/>
            </w:tcBorders>
          </w:tcPr>
          <w:p>
            <w:pPr>
              <w:pStyle w:val="TableParagraph"/>
              <w:ind w:right="-15"/>
              <w:jc w:val="right"/>
              <w:rPr>
                <w:sz w:val="15"/>
              </w:rPr>
            </w:pPr>
            <w:r>
              <w:rPr>
                <w:color w:val="0083CA"/>
                <w:w w:val="105"/>
                <w:sz w:val="15"/>
              </w:rPr>
              <w:t>28 884</w:t>
            </w:r>
          </w:p>
        </w:tc>
        <w:tc>
          <w:tcPr>
            <w:tcW w:w="1757" w:type="dxa"/>
            <w:tcBorders>
              <w:top w:val="single" w:sz="2" w:space="0" w:color="8F999F"/>
              <w:left w:val="single" w:sz="24" w:space="0" w:color="FFFFFF"/>
              <w:bottom w:val="single" w:sz="2" w:space="0" w:color="8F999F"/>
              <w:right w:val="single" w:sz="24" w:space="0" w:color="FFFFFF"/>
            </w:tcBorders>
          </w:tcPr>
          <w:p>
            <w:pPr>
              <w:pStyle w:val="TableParagraph"/>
              <w:spacing w:line="240" w:lineRule="auto" w:before="0"/>
              <w:rPr>
                <w:rFonts w:ascii="Times New Roman"/>
                <w:sz w:val="16"/>
              </w:rPr>
            </w:pPr>
          </w:p>
        </w:tc>
        <w:tc>
          <w:tcPr>
            <w:tcW w:w="1729" w:type="dxa"/>
            <w:tcBorders>
              <w:top w:val="single" w:sz="2" w:space="0" w:color="8F999F"/>
              <w:left w:val="single" w:sz="24" w:space="0" w:color="FFFFFF"/>
              <w:bottom w:val="single" w:sz="2" w:space="0" w:color="8F999F"/>
              <w:right w:val="nil"/>
            </w:tcBorders>
          </w:tcPr>
          <w:p>
            <w:pPr>
              <w:pStyle w:val="TableParagraph"/>
              <w:ind w:right="-15"/>
              <w:jc w:val="right"/>
              <w:rPr>
                <w:sz w:val="15"/>
              </w:rPr>
            </w:pPr>
            <w:r>
              <w:rPr>
                <w:color w:val="586670"/>
                <w:w w:val="105"/>
                <w:sz w:val="15"/>
              </w:rPr>
              <w:t>28 884</w:t>
            </w:r>
          </w:p>
        </w:tc>
      </w:tr>
      <w:tr>
        <w:trPr>
          <w:trHeight w:val="235" w:hRule="atLeast"/>
        </w:trPr>
        <w:tc>
          <w:tcPr>
            <w:tcW w:w="4243" w:type="dxa"/>
            <w:tcBorders>
              <w:top w:val="single" w:sz="2" w:space="0" w:color="8F999F"/>
              <w:left w:val="nil"/>
              <w:bottom w:val="single" w:sz="4" w:space="0" w:color="231F20"/>
              <w:right w:val="nil"/>
            </w:tcBorders>
          </w:tcPr>
          <w:p>
            <w:pPr>
              <w:pStyle w:val="TableParagraph"/>
              <w:ind w:left="2"/>
              <w:rPr>
                <w:b/>
                <w:sz w:val="15"/>
              </w:rPr>
            </w:pPr>
            <w:r>
              <w:rPr>
                <w:b/>
                <w:color w:val="586670"/>
                <w:sz w:val="15"/>
              </w:rPr>
              <w:t>Total</w:t>
            </w:r>
          </w:p>
        </w:tc>
        <w:tc>
          <w:tcPr>
            <w:tcW w:w="1307" w:type="dxa"/>
            <w:tcBorders>
              <w:top w:val="single" w:sz="2" w:space="0" w:color="8F999F"/>
              <w:left w:val="nil"/>
              <w:bottom w:val="single" w:sz="4" w:space="0" w:color="231F20"/>
              <w:right w:val="nil"/>
            </w:tcBorders>
          </w:tcPr>
          <w:p>
            <w:pPr>
              <w:pStyle w:val="TableParagraph"/>
              <w:spacing w:line="240" w:lineRule="auto" w:before="0"/>
              <w:rPr>
                <w:rFonts w:ascii="Times New Roman"/>
                <w:sz w:val="16"/>
              </w:rPr>
            </w:pPr>
          </w:p>
        </w:tc>
        <w:tc>
          <w:tcPr>
            <w:tcW w:w="1281" w:type="dxa"/>
            <w:tcBorders>
              <w:top w:val="single" w:sz="2" w:space="0" w:color="8F999F"/>
              <w:left w:val="nil"/>
              <w:bottom w:val="single" w:sz="4" w:space="0" w:color="231F20"/>
              <w:right w:val="single" w:sz="24" w:space="0" w:color="FFFFFF"/>
            </w:tcBorders>
          </w:tcPr>
          <w:p>
            <w:pPr>
              <w:pStyle w:val="TableParagraph"/>
              <w:ind w:right="-15"/>
              <w:jc w:val="right"/>
              <w:rPr>
                <w:b/>
                <w:sz w:val="15"/>
              </w:rPr>
            </w:pPr>
            <w:r>
              <w:rPr>
                <w:b/>
                <w:color w:val="0083CA"/>
                <w:w w:val="105"/>
                <w:sz w:val="15"/>
              </w:rPr>
              <w:t>9 296 276</w:t>
            </w:r>
          </w:p>
        </w:tc>
        <w:tc>
          <w:tcPr>
            <w:tcW w:w="1757" w:type="dxa"/>
            <w:tcBorders>
              <w:top w:val="single" w:sz="2" w:space="0" w:color="8F999F"/>
              <w:left w:val="single" w:sz="24" w:space="0" w:color="FFFFFF"/>
              <w:bottom w:val="single" w:sz="4" w:space="0" w:color="231F20"/>
              <w:right w:val="single" w:sz="24" w:space="0" w:color="FFFFFF"/>
            </w:tcBorders>
          </w:tcPr>
          <w:p>
            <w:pPr>
              <w:pStyle w:val="TableParagraph"/>
              <w:spacing w:line="240" w:lineRule="auto" w:before="0"/>
              <w:rPr>
                <w:rFonts w:ascii="Times New Roman"/>
                <w:sz w:val="16"/>
              </w:rPr>
            </w:pPr>
          </w:p>
        </w:tc>
        <w:tc>
          <w:tcPr>
            <w:tcW w:w="1729" w:type="dxa"/>
            <w:tcBorders>
              <w:top w:val="single" w:sz="2" w:space="0" w:color="8F999F"/>
              <w:left w:val="single" w:sz="24" w:space="0" w:color="FFFFFF"/>
              <w:bottom w:val="single" w:sz="4" w:space="0" w:color="231F20"/>
              <w:right w:val="nil"/>
            </w:tcBorders>
          </w:tcPr>
          <w:p>
            <w:pPr>
              <w:pStyle w:val="TableParagraph"/>
              <w:ind w:right="-15"/>
              <w:jc w:val="right"/>
              <w:rPr>
                <w:b/>
                <w:sz w:val="15"/>
              </w:rPr>
            </w:pPr>
            <w:r>
              <w:rPr>
                <w:b/>
                <w:color w:val="586670"/>
                <w:w w:val="105"/>
                <w:sz w:val="15"/>
              </w:rPr>
              <w:t>9 965 431</w:t>
            </w:r>
          </w:p>
        </w:tc>
      </w:tr>
      <w:tr>
        <w:trPr>
          <w:trHeight w:val="230" w:hRule="atLeast"/>
        </w:trPr>
        <w:tc>
          <w:tcPr>
            <w:tcW w:w="4243" w:type="dxa"/>
            <w:tcBorders>
              <w:top w:val="single" w:sz="4" w:space="0" w:color="231F20"/>
              <w:left w:val="nil"/>
              <w:bottom w:val="single" w:sz="2" w:space="0" w:color="8F999F"/>
              <w:right w:val="nil"/>
            </w:tcBorders>
          </w:tcPr>
          <w:p>
            <w:pPr>
              <w:pStyle w:val="TableParagraph"/>
              <w:spacing w:before="38"/>
              <w:ind w:left="2"/>
              <w:rPr>
                <w:sz w:val="15"/>
              </w:rPr>
            </w:pPr>
            <w:r>
              <w:rPr>
                <w:color w:val="231F20"/>
                <w:w w:val="125"/>
                <w:sz w:val="15"/>
              </w:rPr>
              <w:t>% </w:t>
            </w:r>
            <w:r>
              <w:rPr>
                <w:color w:val="231F20"/>
                <w:w w:val="110"/>
                <w:sz w:val="15"/>
              </w:rPr>
              <w:t>Fixed/Variable</w:t>
            </w:r>
          </w:p>
        </w:tc>
        <w:tc>
          <w:tcPr>
            <w:tcW w:w="1307" w:type="dxa"/>
            <w:tcBorders>
              <w:top w:val="single" w:sz="4" w:space="0" w:color="231F20"/>
              <w:left w:val="nil"/>
              <w:bottom w:val="single" w:sz="2" w:space="0" w:color="8F999F"/>
              <w:right w:val="nil"/>
            </w:tcBorders>
          </w:tcPr>
          <w:p>
            <w:pPr>
              <w:pStyle w:val="TableParagraph"/>
              <w:spacing w:line="240" w:lineRule="auto" w:before="0"/>
              <w:rPr>
                <w:rFonts w:ascii="Times New Roman"/>
                <w:sz w:val="16"/>
              </w:rPr>
            </w:pPr>
          </w:p>
        </w:tc>
        <w:tc>
          <w:tcPr>
            <w:tcW w:w="1281" w:type="dxa"/>
            <w:tcBorders>
              <w:top w:val="single" w:sz="4" w:space="0" w:color="231F20"/>
              <w:left w:val="nil"/>
              <w:bottom w:val="single" w:sz="2" w:space="0" w:color="8F999F"/>
              <w:right w:val="single" w:sz="24" w:space="0" w:color="FFFFFF"/>
            </w:tcBorders>
          </w:tcPr>
          <w:p>
            <w:pPr>
              <w:pStyle w:val="TableParagraph"/>
              <w:spacing w:before="38"/>
              <w:ind w:right="-15"/>
              <w:jc w:val="right"/>
              <w:rPr>
                <w:sz w:val="15"/>
              </w:rPr>
            </w:pPr>
            <w:r>
              <w:rPr>
                <w:color w:val="0083CA"/>
                <w:w w:val="110"/>
                <w:sz w:val="15"/>
              </w:rPr>
              <w:t>27.2 – 72.8</w:t>
            </w:r>
          </w:p>
        </w:tc>
        <w:tc>
          <w:tcPr>
            <w:tcW w:w="1757" w:type="dxa"/>
            <w:tcBorders>
              <w:top w:val="single" w:sz="4" w:space="0" w:color="231F20"/>
              <w:left w:val="single" w:sz="24" w:space="0" w:color="FFFFFF"/>
              <w:bottom w:val="single" w:sz="2" w:space="0" w:color="8F999F"/>
              <w:right w:val="single" w:sz="24" w:space="0" w:color="FFFFFF"/>
            </w:tcBorders>
          </w:tcPr>
          <w:p>
            <w:pPr>
              <w:pStyle w:val="TableParagraph"/>
              <w:spacing w:line="240" w:lineRule="auto" w:before="0"/>
              <w:rPr>
                <w:rFonts w:ascii="Times New Roman"/>
                <w:sz w:val="16"/>
              </w:rPr>
            </w:pPr>
          </w:p>
        </w:tc>
        <w:tc>
          <w:tcPr>
            <w:tcW w:w="1729" w:type="dxa"/>
            <w:tcBorders>
              <w:top w:val="single" w:sz="4" w:space="0" w:color="231F20"/>
              <w:left w:val="single" w:sz="24" w:space="0" w:color="FFFFFF"/>
              <w:bottom w:val="single" w:sz="2" w:space="0" w:color="8F999F"/>
              <w:right w:val="nil"/>
            </w:tcBorders>
          </w:tcPr>
          <w:p>
            <w:pPr>
              <w:pStyle w:val="TableParagraph"/>
              <w:spacing w:before="38"/>
              <w:ind w:right="-15"/>
              <w:jc w:val="right"/>
              <w:rPr>
                <w:sz w:val="15"/>
              </w:rPr>
            </w:pPr>
            <w:r>
              <w:rPr>
                <w:color w:val="586670"/>
                <w:w w:val="110"/>
                <w:sz w:val="15"/>
              </w:rPr>
              <w:t>24.1 – 75.9</w:t>
            </w:r>
          </w:p>
        </w:tc>
      </w:tr>
    </w:tbl>
    <w:p>
      <w:pPr>
        <w:pStyle w:val="BodyText"/>
        <w:spacing w:before="11"/>
        <w:rPr>
          <w:sz w:val="21"/>
        </w:rPr>
      </w:pPr>
    </w:p>
    <w:p>
      <w:pPr>
        <w:pStyle w:val="BodyText"/>
        <w:spacing w:line="276" w:lineRule="auto"/>
        <w:ind w:left="560" w:right="953"/>
      </w:pPr>
      <w:r>
        <w:rPr>
          <w:color w:val="231F20"/>
          <w:w w:val="105"/>
        </w:rPr>
        <w:t>The Company also made a contribution in </w:t>
      </w:r>
      <w:r>
        <w:rPr>
          <w:color w:val="231F20"/>
          <w:spacing w:val="-4"/>
          <w:w w:val="105"/>
        </w:rPr>
        <w:t>2013 </w:t>
      </w:r>
      <w:r>
        <w:rPr>
          <w:color w:val="231F20"/>
          <w:w w:val="105"/>
        </w:rPr>
        <w:t>of CHF 2 092 </w:t>
      </w:r>
      <w:r>
        <w:rPr>
          <w:color w:val="231F20"/>
          <w:spacing w:val="-7"/>
          <w:w w:val="105"/>
        </w:rPr>
        <w:t>312 </w:t>
      </w:r>
      <w:r>
        <w:rPr>
          <w:color w:val="231F20"/>
          <w:w w:val="105"/>
        </w:rPr>
        <w:t>towards future pension benefits in line with Nestlé’s Pension Benefit Policy described above </w:t>
      </w:r>
      <w:r>
        <w:rPr>
          <w:color w:val="231F20"/>
          <w:spacing w:val="-5"/>
          <w:w w:val="105"/>
        </w:rPr>
        <w:t>(2012: </w:t>
      </w:r>
      <w:r>
        <w:rPr>
          <w:color w:val="231F20"/>
          <w:w w:val="105"/>
        </w:rPr>
        <w:t>CHF 1 962 676), as a consequence of having adjusted his base </w:t>
      </w:r>
      <w:r>
        <w:rPr>
          <w:color w:val="231F20"/>
          <w:spacing w:val="2"/>
          <w:w w:val="105"/>
        </w:rPr>
        <w:t>salary </w:t>
      </w:r>
      <w:r>
        <w:rPr>
          <w:color w:val="231F20"/>
          <w:w w:val="105"/>
        </w:rPr>
        <w:t>and decreased his variable compensation.</w:t>
      </w:r>
    </w:p>
    <w:p>
      <w:pPr>
        <w:pStyle w:val="BodyText"/>
        <w:spacing w:before="6"/>
        <w:rPr>
          <w:sz w:val="20"/>
        </w:rPr>
      </w:pPr>
    </w:p>
    <w:p>
      <w:pPr>
        <w:pStyle w:val="BodyText"/>
        <w:spacing w:before="1"/>
        <w:ind w:left="560"/>
      </w:pPr>
      <w:r>
        <w:rPr>
          <w:color w:val="586670"/>
          <w:w w:val="105"/>
        </w:rPr>
        <w:t>Explanations</w:t>
      </w:r>
    </w:p>
    <w:p>
      <w:pPr>
        <w:pStyle w:val="ListParagraph"/>
        <w:numPr>
          <w:ilvl w:val="1"/>
          <w:numId w:val="11"/>
        </w:numPr>
        <w:tabs>
          <w:tab w:pos="788" w:val="left" w:leader="none"/>
        </w:tabs>
        <w:spacing w:line="240" w:lineRule="auto" w:before="31" w:after="0"/>
        <w:ind w:left="787" w:right="0" w:hanging="227"/>
        <w:jc w:val="left"/>
        <w:rPr>
          <w:sz w:val="18"/>
        </w:rPr>
      </w:pPr>
      <w:r>
        <w:rPr>
          <w:color w:val="231F20"/>
          <w:sz w:val="18"/>
        </w:rPr>
        <w:t>Other</w:t>
      </w:r>
      <w:r>
        <w:rPr>
          <w:color w:val="231F20"/>
          <w:spacing w:val="-5"/>
          <w:sz w:val="18"/>
        </w:rPr>
        <w:t> </w:t>
      </w:r>
      <w:r>
        <w:rPr>
          <w:color w:val="231F20"/>
          <w:sz w:val="18"/>
        </w:rPr>
        <w:t>benefits</w:t>
      </w:r>
      <w:r>
        <w:rPr>
          <w:color w:val="231F20"/>
          <w:spacing w:val="-5"/>
          <w:sz w:val="18"/>
        </w:rPr>
        <w:t> </w:t>
      </w:r>
      <w:r>
        <w:rPr>
          <w:color w:val="231F20"/>
          <w:sz w:val="18"/>
        </w:rPr>
        <w:t>include</w:t>
      </w:r>
      <w:r>
        <w:rPr>
          <w:color w:val="231F20"/>
          <w:spacing w:val="-5"/>
          <w:sz w:val="18"/>
        </w:rPr>
        <w:t> </w:t>
      </w:r>
      <w:r>
        <w:rPr>
          <w:color w:val="231F20"/>
          <w:sz w:val="18"/>
        </w:rPr>
        <w:t>a</w:t>
      </w:r>
      <w:r>
        <w:rPr>
          <w:color w:val="231F20"/>
          <w:spacing w:val="-4"/>
          <w:sz w:val="18"/>
        </w:rPr>
        <w:t> </w:t>
      </w:r>
      <w:r>
        <w:rPr>
          <w:color w:val="231F20"/>
          <w:sz w:val="18"/>
        </w:rPr>
        <w:t>car</w:t>
      </w:r>
      <w:r>
        <w:rPr>
          <w:color w:val="231F20"/>
          <w:spacing w:val="-5"/>
          <w:sz w:val="18"/>
        </w:rPr>
        <w:t> </w:t>
      </w:r>
      <w:r>
        <w:rPr>
          <w:color w:val="231F20"/>
          <w:sz w:val="18"/>
        </w:rPr>
        <w:t>allowance</w:t>
      </w:r>
      <w:r>
        <w:rPr>
          <w:color w:val="231F20"/>
          <w:spacing w:val="-5"/>
          <w:sz w:val="18"/>
        </w:rPr>
        <w:t> </w:t>
      </w:r>
      <w:r>
        <w:rPr>
          <w:color w:val="231F20"/>
          <w:sz w:val="18"/>
        </w:rPr>
        <w:t>and</w:t>
      </w:r>
      <w:r>
        <w:rPr>
          <w:color w:val="231F20"/>
          <w:spacing w:val="-5"/>
          <w:sz w:val="18"/>
        </w:rPr>
        <w:t> </w:t>
      </w:r>
      <w:r>
        <w:rPr>
          <w:color w:val="231F20"/>
          <w:sz w:val="18"/>
        </w:rPr>
        <w:t>a</w:t>
      </w:r>
      <w:r>
        <w:rPr>
          <w:color w:val="231F20"/>
          <w:spacing w:val="-4"/>
          <w:sz w:val="18"/>
        </w:rPr>
        <w:t> </w:t>
      </w:r>
      <w:r>
        <w:rPr>
          <w:color w:val="231F20"/>
          <w:sz w:val="18"/>
        </w:rPr>
        <w:t>contribution</w:t>
      </w:r>
      <w:r>
        <w:rPr>
          <w:color w:val="231F20"/>
          <w:spacing w:val="-5"/>
          <w:sz w:val="18"/>
        </w:rPr>
        <w:t> </w:t>
      </w:r>
      <w:r>
        <w:rPr>
          <w:color w:val="231F20"/>
          <w:sz w:val="18"/>
        </w:rPr>
        <w:t>towards</w:t>
      </w:r>
      <w:r>
        <w:rPr>
          <w:color w:val="231F20"/>
          <w:spacing w:val="-5"/>
          <w:sz w:val="18"/>
        </w:rPr>
        <w:t> </w:t>
      </w:r>
      <w:r>
        <w:rPr>
          <w:color w:val="231F20"/>
          <w:sz w:val="18"/>
        </w:rPr>
        <w:t>health</w:t>
      </w:r>
      <w:r>
        <w:rPr>
          <w:color w:val="231F20"/>
          <w:spacing w:val="-5"/>
          <w:sz w:val="18"/>
        </w:rPr>
        <w:t> </w:t>
      </w:r>
      <w:r>
        <w:rPr>
          <w:color w:val="231F20"/>
          <w:sz w:val="18"/>
        </w:rPr>
        <w:t>insurance</w:t>
      </w:r>
      <w:r>
        <w:rPr>
          <w:color w:val="231F20"/>
          <w:spacing w:val="-4"/>
          <w:sz w:val="18"/>
        </w:rPr>
        <w:t> </w:t>
      </w:r>
      <w:r>
        <w:rPr>
          <w:color w:val="231F20"/>
          <w:sz w:val="18"/>
        </w:rPr>
        <w:t>premiums.</w:t>
      </w:r>
    </w:p>
    <w:p>
      <w:pPr>
        <w:pStyle w:val="ListParagraph"/>
        <w:numPr>
          <w:ilvl w:val="1"/>
          <w:numId w:val="11"/>
        </w:numPr>
        <w:tabs>
          <w:tab w:pos="788" w:val="left" w:leader="none"/>
        </w:tabs>
        <w:spacing w:line="276" w:lineRule="auto" w:before="31" w:after="0"/>
        <w:ind w:left="787" w:right="1134" w:hanging="227"/>
        <w:jc w:val="left"/>
        <w:rPr>
          <w:sz w:val="18"/>
        </w:rPr>
      </w:pPr>
      <w:r>
        <w:rPr>
          <w:color w:val="231F20"/>
          <w:sz w:val="18"/>
        </w:rPr>
        <w:t>Nestlé S.A. shares received as </w:t>
      </w:r>
      <w:r>
        <w:rPr>
          <w:color w:val="231F20"/>
          <w:spacing w:val="2"/>
          <w:sz w:val="18"/>
        </w:rPr>
        <w:t>part </w:t>
      </w:r>
      <w:r>
        <w:rPr>
          <w:color w:val="231F20"/>
          <w:sz w:val="18"/>
        </w:rPr>
        <w:t>of the Short-Term Bonus are valued at the average closing price of the last ten trading days of January </w:t>
      </w:r>
      <w:r>
        <w:rPr>
          <w:color w:val="231F20"/>
          <w:spacing w:val="-4"/>
          <w:sz w:val="18"/>
        </w:rPr>
        <w:t>2014, </w:t>
      </w:r>
      <w:r>
        <w:rPr>
          <w:color w:val="231F20"/>
          <w:sz w:val="18"/>
        </w:rPr>
        <w:t>discounted by 16.038% to account for the three-year blocking</w:t>
      </w:r>
      <w:r>
        <w:rPr>
          <w:color w:val="231F20"/>
          <w:spacing w:val="47"/>
          <w:sz w:val="18"/>
        </w:rPr>
        <w:t> </w:t>
      </w:r>
      <w:r>
        <w:rPr>
          <w:color w:val="231F20"/>
          <w:sz w:val="18"/>
        </w:rPr>
        <w:t>period.</w:t>
      </w:r>
    </w:p>
    <w:p>
      <w:pPr>
        <w:pStyle w:val="ListParagraph"/>
        <w:numPr>
          <w:ilvl w:val="1"/>
          <w:numId w:val="11"/>
        </w:numPr>
        <w:tabs>
          <w:tab w:pos="788" w:val="left" w:leader="none"/>
        </w:tabs>
        <w:spacing w:line="208" w:lineRule="exact" w:before="0" w:after="0"/>
        <w:ind w:left="787" w:right="0" w:hanging="227"/>
        <w:jc w:val="left"/>
        <w:rPr>
          <w:sz w:val="18"/>
        </w:rPr>
      </w:pPr>
      <w:r>
        <w:rPr>
          <w:color w:val="231F20"/>
          <w:sz w:val="18"/>
        </w:rPr>
        <w:t>Performance Share Units granted in </w:t>
      </w:r>
      <w:r>
        <w:rPr>
          <w:color w:val="231F20"/>
          <w:spacing w:val="-4"/>
          <w:sz w:val="18"/>
        </w:rPr>
        <w:t>2013 </w:t>
      </w:r>
      <w:r>
        <w:rPr>
          <w:color w:val="231F20"/>
          <w:sz w:val="18"/>
        </w:rPr>
        <w:t>are disclosed at fair value at grant, which corresponds to CHF</w:t>
      </w:r>
      <w:r>
        <w:rPr>
          <w:color w:val="231F20"/>
          <w:spacing w:val="-1"/>
          <w:sz w:val="18"/>
        </w:rPr>
        <w:t> </w:t>
      </w:r>
      <w:r>
        <w:rPr>
          <w:color w:val="231F20"/>
          <w:sz w:val="18"/>
        </w:rPr>
        <w:t>64.44.</w:t>
      </w:r>
    </w:p>
    <w:p>
      <w:pPr>
        <w:pStyle w:val="ListParagraph"/>
        <w:numPr>
          <w:ilvl w:val="1"/>
          <w:numId w:val="11"/>
        </w:numPr>
        <w:tabs>
          <w:tab w:pos="788" w:val="left" w:leader="none"/>
        </w:tabs>
        <w:spacing w:line="240" w:lineRule="auto" w:before="31" w:after="0"/>
        <w:ind w:left="787" w:right="0" w:hanging="227"/>
        <w:jc w:val="left"/>
        <w:rPr>
          <w:sz w:val="18"/>
        </w:rPr>
      </w:pPr>
      <w:r>
        <w:rPr>
          <w:color w:val="231F20"/>
          <w:sz w:val="18"/>
        </w:rPr>
        <w:t>Please</w:t>
      </w:r>
      <w:r>
        <w:rPr>
          <w:color w:val="231F20"/>
          <w:spacing w:val="-5"/>
          <w:sz w:val="18"/>
        </w:rPr>
        <w:t> </w:t>
      </w:r>
      <w:r>
        <w:rPr>
          <w:color w:val="231F20"/>
          <w:sz w:val="18"/>
        </w:rPr>
        <w:t>also</w:t>
      </w:r>
      <w:r>
        <w:rPr>
          <w:color w:val="231F20"/>
          <w:spacing w:val="-5"/>
          <w:sz w:val="18"/>
        </w:rPr>
        <w:t> </w:t>
      </w:r>
      <w:r>
        <w:rPr>
          <w:color w:val="231F20"/>
          <w:sz w:val="18"/>
        </w:rPr>
        <w:t>refer</w:t>
      </w:r>
      <w:r>
        <w:rPr>
          <w:color w:val="231F20"/>
          <w:spacing w:val="-4"/>
          <w:sz w:val="18"/>
        </w:rPr>
        <w:t> </w:t>
      </w:r>
      <w:r>
        <w:rPr>
          <w:color w:val="231F20"/>
          <w:sz w:val="18"/>
        </w:rPr>
        <w:t>to</w:t>
      </w:r>
      <w:r>
        <w:rPr>
          <w:color w:val="231F20"/>
          <w:spacing w:val="-5"/>
          <w:sz w:val="18"/>
        </w:rPr>
        <w:t> </w:t>
      </w:r>
      <w:r>
        <w:rPr>
          <w:color w:val="231F20"/>
          <w:sz w:val="18"/>
        </w:rPr>
        <w:t>Note</w:t>
      </w:r>
      <w:r>
        <w:rPr>
          <w:color w:val="231F20"/>
          <w:spacing w:val="-4"/>
          <w:sz w:val="18"/>
        </w:rPr>
        <w:t> </w:t>
      </w:r>
      <w:r>
        <w:rPr>
          <w:color w:val="231F20"/>
          <w:spacing w:val="-9"/>
          <w:sz w:val="18"/>
        </w:rPr>
        <w:t>21.1</w:t>
      </w:r>
      <w:r>
        <w:rPr>
          <w:color w:val="231F20"/>
          <w:spacing w:val="-5"/>
          <w:sz w:val="18"/>
        </w:rPr>
        <w:t> </w:t>
      </w:r>
      <w:r>
        <w:rPr>
          <w:color w:val="231F20"/>
          <w:sz w:val="18"/>
        </w:rPr>
        <w:t>of</w:t>
      </w:r>
      <w:r>
        <w:rPr>
          <w:color w:val="231F20"/>
          <w:spacing w:val="-4"/>
          <w:sz w:val="18"/>
        </w:rPr>
        <w:t> </w:t>
      </w:r>
      <w:r>
        <w:rPr>
          <w:color w:val="231F20"/>
          <w:sz w:val="18"/>
        </w:rPr>
        <w:t>the</w:t>
      </w:r>
      <w:r>
        <w:rPr>
          <w:color w:val="231F20"/>
          <w:spacing w:val="-5"/>
          <w:sz w:val="18"/>
        </w:rPr>
        <w:t> </w:t>
      </w:r>
      <w:r>
        <w:rPr>
          <w:color w:val="231F20"/>
          <w:sz w:val="18"/>
        </w:rPr>
        <w:t>Consolidated</w:t>
      </w:r>
      <w:r>
        <w:rPr>
          <w:color w:val="231F20"/>
          <w:spacing w:val="-5"/>
          <w:sz w:val="18"/>
        </w:rPr>
        <w:t> </w:t>
      </w:r>
      <w:r>
        <w:rPr>
          <w:color w:val="231F20"/>
          <w:sz w:val="18"/>
        </w:rPr>
        <w:t>Financial</w:t>
      </w:r>
      <w:r>
        <w:rPr>
          <w:color w:val="231F20"/>
          <w:spacing w:val="-4"/>
          <w:sz w:val="18"/>
        </w:rPr>
        <w:t> </w:t>
      </w:r>
      <w:r>
        <w:rPr>
          <w:color w:val="231F20"/>
          <w:sz w:val="18"/>
        </w:rPr>
        <w:t>Statements</w:t>
      </w:r>
      <w:r>
        <w:rPr>
          <w:color w:val="231F20"/>
          <w:spacing w:val="-5"/>
          <w:sz w:val="18"/>
        </w:rPr>
        <w:t> </w:t>
      </w:r>
      <w:r>
        <w:rPr>
          <w:color w:val="231F20"/>
          <w:sz w:val="18"/>
        </w:rPr>
        <w:t>of</w:t>
      </w:r>
      <w:r>
        <w:rPr>
          <w:color w:val="231F20"/>
          <w:spacing w:val="-4"/>
          <w:sz w:val="18"/>
        </w:rPr>
        <w:t> </w:t>
      </w:r>
      <w:r>
        <w:rPr>
          <w:color w:val="231F20"/>
          <w:sz w:val="18"/>
        </w:rPr>
        <w:t>the</w:t>
      </w:r>
      <w:r>
        <w:rPr>
          <w:color w:val="231F20"/>
          <w:spacing w:val="-5"/>
          <w:sz w:val="18"/>
        </w:rPr>
        <w:t> </w:t>
      </w:r>
      <w:r>
        <w:rPr>
          <w:color w:val="231F20"/>
          <w:sz w:val="18"/>
        </w:rPr>
        <w:t>Nestlé</w:t>
      </w:r>
      <w:r>
        <w:rPr>
          <w:color w:val="231F20"/>
          <w:spacing w:val="-4"/>
          <w:sz w:val="18"/>
        </w:rPr>
        <w:t> </w:t>
      </w:r>
      <w:r>
        <w:rPr>
          <w:color w:val="231F20"/>
          <w:sz w:val="18"/>
        </w:rPr>
        <w:t>Group</w:t>
      </w:r>
      <w:r>
        <w:rPr>
          <w:color w:val="231F20"/>
          <w:spacing w:val="-5"/>
          <w:sz w:val="18"/>
        </w:rPr>
        <w:t> </w:t>
      </w:r>
      <w:r>
        <w:rPr>
          <w:color w:val="231F20"/>
          <w:spacing w:val="-4"/>
          <w:sz w:val="18"/>
        </w:rPr>
        <w:t>2013.</w:t>
      </w:r>
    </w:p>
    <w:p>
      <w:pPr>
        <w:pStyle w:val="BodyText"/>
        <w:spacing w:before="3"/>
        <w:rPr>
          <w:sz w:val="23"/>
        </w:rPr>
      </w:pPr>
    </w:p>
    <w:p>
      <w:pPr>
        <w:pStyle w:val="Heading3"/>
        <w:spacing w:line="276" w:lineRule="auto"/>
        <w:ind w:right="3830"/>
      </w:pPr>
      <w:r>
        <w:rPr>
          <w:color w:val="231F20"/>
          <w:w w:val="110"/>
        </w:rPr>
        <w:t>Shares and stock options held by members of the Executive Board </w:t>
      </w:r>
      <w:r>
        <w:rPr>
          <w:color w:val="586670"/>
          <w:w w:val="110"/>
        </w:rPr>
        <w:t>Total number of management stock options held on 31 December 2013 by members of the Executive Board</w:t>
      </w:r>
    </w:p>
    <w:p>
      <w:pPr>
        <w:pStyle w:val="BodyText"/>
        <w:spacing w:before="1"/>
        <w:rPr>
          <w:b/>
          <w:sz w:val="19"/>
        </w:rPr>
      </w:pPr>
    </w:p>
    <w:tbl>
      <w:tblPr>
        <w:tblW w:w="0" w:type="auto"/>
        <w:jc w:val="left"/>
        <w:tblInd w:w="5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79"/>
        <w:gridCol w:w="3061"/>
        <w:gridCol w:w="1725"/>
        <w:gridCol w:w="1705"/>
        <w:gridCol w:w="1347"/>
      </w:tblGrid>
      <w:tr>
        <w:trPr>
          <w:trHeight w:val="477" w:hRule="atLeast"/>
        </w:trPr>
        <w:tc>
          <w:tcPr>
            <w:tcW w:w="2479" w:type="dxa"/>
            <w:tcBorders>
              <w:top w:val="single" w:sz="2" w:space="0" w:color="231F20"/>
              <w:bottom w:val="single" w:sz="2" w:space="0" w:color="231F20"/>
            </w:tcBorders>
          </w:tcPr>
          <w:p>
            <w:pPr>
              <w:pStyle w:val="TableParagraph"/>
              <w:spacing w:line="240" w:lineRule="auto" w:before="2"/>
              <w:rPr>
                <w:b/>
                <w:sz w:val="19"/>
              </w:rPr>
            </w:pPr>
          </w:p>
          <w:p>
            <w:pPr>
              <w:pStyle w:val="TableParagraph"/>
              <w:spacing w:line="240" w:lineRule="auto" w:before="0"/>
              <w:rPr>
                <w:sz w:val="15"/>
              </w:rPr>
            </w:pPr>
            <w:r>
              <w:rPr>
                <w:color w:val="231F20"/>
                <w:sz w:val="15"/>
              </w:rPr>
              <w:t>Grant date</w:t>
            </w:r>
          </w:p>
        </w:tc>
        <w:tc>
          <w:tcPr>
            <w:tcW w:w="3061" w:type="dxa"/>
            <w:tcBorders>
              <w:top w:val="single" w:sz="2" w:space="0" w:color="231F20"/>
              <w:bottom w:val="single" w:sz="2" w:space="0" w:color="231F20"/>
            </w:tcBorders>
          </w:tcPr>
          <w:p>
            <w:pPr>
              <w:pStyle w:val="TableParagraph"/>
              <w:spacing w:line="240" w:lineRule="auto" w:before="2"/>
              <w:rPr>
                <w:b/>
                <w:sz w:val="19"/>
              </w:rPr>
            </w:pPr>
          </w:p>
          <w:p>
            <w:pPr>
              <w:pStyle w:val="TableParagraph"/>
              <w:spacing w:line="240" w:lineRule="auto" w:before="0"/>
              <w:ind w:right="491"/>
              <w:jc w:val="right"/>
              <w:rPr>
                <w:sz w:val="15"/>
              </w:rPr>
            </w:pPr>
            <w:r>
              <w:rPr>
                <w:color w:val="231F20"/>
                <w:sz w:val="15"/>
              </w:rPr>
              <w:t>Vesting date</w:t>
            </w:r>
          </w:p>
        </w:tc>
        <w:tc>
          <w:tcPr>
            <w:tcW w:w="1725" w:type="dxa"/>
            <w:tcBorders>
              <w:top w:val="single" w:sz="2" w:space="0" w:color="231F20"/>
              <w:bottom w:val="single" w:sz="2" w:space="0" w:color="231F20"/>
            </w:tcBorders>
          </w:tcPr>
          <w:p>
            <w:pPr>
              <w:pStyle w:val="TableParagraph"/>
              <w:spacing w:line="240" w:lineRule="auto" w:before="2"/>
              <w:rPr>
                <w:b/>
                <w:sz w:val="19"/>
              </w:rPr>
            </w:pPr>
          </w:p>
          <w:p>
            <w:pPr>
              <w:pStyle w:val="TableParagraph"/>
              <w:spacing w:line="240" w:lineRule="auto" w:before="0"/>
              <w:ind w:left="469" w:right="437"/>
              <w:jc w:val="center"/>
              <w:rPr>
                <w:sz w:val="15"/>
              </w:rPr>
            </w:pPr>
            <w:r>
              <w:rPr>
                <w:color w:val="231F20"/>
                <w:sz w:val="15"/>
              </w:rPr>
              <w:t>Expiry date</w:t>
            </w:r>
          </w:p>
        </w:tc>
        <w:tc>
          <w:tcPr>
            <w:tcW w:w="1705" w:type="dxa"/>
            <w:tcBorders>
              <w:top w:val="single" w:sz="2" w:space="0" w:color="231F20"/>
              <w:bottom w:val="single" w:sz="2" w:space="0" w:color="231F20"/>
            </w:tcBorders>
          </w:tcPr>
          <w:p>
            <w:pPr>
              <w:pStyle w:val="TableParagraph"/>
              <w:spacing w:line="247" w:lineRule="auto"/>
              <w:ind w:left="461" w:right="401" w:firstLine="256"/>
              <w:rPr>
                <w:sz w:val="15"/>
              </w:rPr>
            </w:pPr>
            <w:r>
              <w:rPr>
                <w:color w:val="231F20"/>
                <w:sz w:val="15"/>
              </w:rPr>
              <w:t>Exercise price in CHF</w:t>
            </w:r>
          </w:p>
        </w:tc>
        <w:tc>
          <w:tcPr>
            <w:tcW w:w="1347" w:type="dxa"/>
            <w:tcBorders>
              <w:top w:val="single" w:sz="2" w:space="0" w:color="231F20"/>
              <w:bottom w:val="single" w:sz="2" w:space="0" w:color="231F20"/>
            </w:tcBorders>
          </w:tcPr>
          <w:p>
            <w:pPr>
              <w:pStyle w:val="TableParagraph"/>
              <w:spacing w:line="247" w:lineRule="auto"/>
              <w:ind w:left="524" w:right="-4" w:hanging="114"/>
              <w:rPr>
                <w:sz w:val="15"/>
              </w:rPr>
            </w:pPr>
            <w:r>
              <w:rPr>
                <w:color w:val="231F20"/>
                <w:sz w:val="15"/>
              </w:rPr>
              <w:t>Stock options outstanding</w:t>
            </w:r>
          </w:p>
        </w:tc>
      </w:tr>
      <w:tr>
        <w:trPr>
          <w:trHeight w:val="232" w:hRule="atLeast"/>
        </w:trPr>
        <w:tc>
          <w:tcPr>
            <w:tcW w:w="2479" w:type="dxa"/>
            <w:tcBorders>
              <w:top w:val="single" w:sz="2" w:space="0" w:color="231F20"/>
              <w:bottom w:val="single" w:sz="2" w:space="0" w:color="8F999F"/>
            </w:tcBorders>
          </w:tcPr>
          <w:p>
            <w:pPr>
              <w:pStyle w:val="TableParagraph"/>
              <w:spacing w:before="40"/>
              <w:rPr>
                <w:sz w:val="15"/>
              </w:rPr>
            </w:pPr>
            <w:r>
              <w:rPr>
                <w:color w:val="231F20"/>
                <w:sz w:val="15"/>
              </w:rPr>
              <w:t>01.03.2012</w:t>
            </w:r>
          </w:p>
        </w:tc>
        <w:tc>
          <w:tcPr>
            <w:tcW w:w="3061" w:type="dxa"/>
            <w:tcBorders>
              <w:top w:val="single" w:sz="2" w:space="0" w:color="231F20"/>
              <w:bottom w:val="single" w:sz="2" w:space="0" w:color="8F999F"/>
            </w:tcBorders>
          </w:tcPr>
          <w:p>
            <w:pPr>
              <w:pStyle w:val="TableParagraph"/>
              <w:spacing w:before="40"/>
              <w:ind w:right="492"/>
              <w:jc w:val="right"/>
              <w:rPr>
                <w:sz w:val="15"/>
              </w:rPr>
            </w:pPr>
            <w:r>
              <w:rPr>
                <w:color w:val="231F20"/>
                <w:sz w:val="15"/>
              </w:rPr>
              <w:t>01.03.2015</w:t>
            </w:r>
          </w:p>
        </w:tc>
        <w:tc>
          <w:tcPr>
            <w:tcW w:w="1725" w:type="dxa"/>
            <w:tcBorders>
              <w:top w:val="single" w:sz="2" w:space="0" w:color="231F20"/>
              <w:bottom w:val="single" w:sz="2" w:space="0" w:color="8F999F"/>
            </w:tcBorders>
          </w:tcPr>
          <w:p>
            <w:pPr>
              <w:pStyle w:val="TableParagraph"/>
              <w:spacing w:before="40"/>
              <w:ind w:left="477" w:right="432"/>
              <w:jc w:val="center"/>
              <w:rPr>
                <w:sz w:val="15"/>
              </w:rPr>
            </w:pPr>
            <w:r>
              <w:rPr>
                <w:color w:val="231F20"/>
                <w:sz w:val="15"/>
              </w:rPr>
              <w:t>28.02.2019</w:t>
            </w:r>
          </w:p>
        </w:tc>
        <w:tc>
          <w:tcPr>
            <w:tcW w:w="1705" w:type="dxa"/>
            <w:tcBorders>
              <w:top w:val="single" w:sz="2" w:space="0" w:color="231F20"/>
              <w:bottom w:val="single" w:sz="2" w:space="0" w:color="8F999F"/>
            </w:tcBorders>
          </w:tcPr>
          <w:p>
            <w:pPr>
              <w:pStyle w:val="TableParagraph"/>
              <w:spacing w:before="40"/>
              <w:ind w:right="407"/>
              <w:jc w:val="right"/>
              <w:rPr>
                <w:sz w:val="15"/>
              </w:rPr>
            </w:pPr>
            <w:r>
              <w:rPr>
                <w:color w:val="231F20"/>
                <w:sz w:val="15"/>
              </w:rPr>
              <w:t>55.57</w:t>
            </w:r>
          </w:p>
        </w:tc>
        <w:tc>
          <w:tcPr>
            <w:tcW w:w="1347" w:type="dxa"/>
            <w:tcBorders>
              <w:top w:val="single" w:sz="2" w:space="0" w:color="231F20"/>
              <w:bottom w:val="single" w:sz="2" w:space="0" w:color="8F999F"/>
            </w:tcBorders>
          </w:tcPr>
          <w:p>
            <w:pPr>
              <w:pStyle w:val="TableParagraph"/>
              <w:spacing w:before="40"/>
              <w:ind w:right="-15"/>
              <w:jc w:val="right"/>
              <w:rPr>
                <w:sz w:val="15"/>
              </w:rPr>
            </w:pPr>
            <w:r>
              <w:rPr>
                <w:color w:val="231F20"/>
                <w:w w:val="105"/>
                <w:sz w:val="15"/>
              </w:rPr>
              <w:t>1 220 570</w:t>
            </w:r>
          </w:p>
        </w:tc>
      </w:tr>
      <w:tr>
        <w:trPr>
          <w:trHeight w:val="235" w:hRule="atLeast"/>
        </w:trPr>
        <w:tc>
          <w:tcPr>
            <w:tcW w:w="2479" w:type="dxa"/>
            <w:tcBorders>
              <w:top w:val="single" w:sz="2" w:space="0" w:color="8F999F"/>
              <w:bottom w:val="single" w:sz="2" w:space="0" w:color="8F999F"/>
            </w:tcBorders>
          </w:tcPr>
          <w:p>
            <w:pPr>
              <w:pStyle w:val="TableParagraph"/>
              <w:rPr>
                <w:sz w:val="15"/>
              </w:rPr>
            </w:pPr>
            <w:r>
              <w:rPr>
                <w:color w:val="231F20"/>
                <w:sz w:val="15"/>
              </w:rPr>
              <w:t>03.03.2011</w:t>
            </w:r>
          </w:p>
        </w:tc>
        <w:tc>
          <w:tcPr>
            <w:tcW w:w="3061" w:type="dxa"/>
            <w:tcBorders>
              <w:top w:val="single" w:sz="2" w:space="0" w:color="8F999F"/>
              <w:bottom w:val="single" w:sz="2" w:space="0" w:color="8F999F"/>
            </w:tcBorders>
          </w:tcPr>
          <w:p>
            <w:pPr>
              <w:pStyle w:val="TableParagraph"/>
              <w:ind w:right="492"/>
              <w:jc w:val="right"/>
              <w:rPr>
                <w:sz w:val="15"/>
              </w:rPr>
            </w:pPr>
            <w:r>
              <w:rPr>
                <w:color w:val="231F20"/>
                <w:sz w:val="15"/>
              </w:rPr>
              <w:t>03.03.2014</w:t>
            </w:r>
          </w:p>
        </w:tc>
        <w:tc>
          <w:tcPr>
            <w:tcW w:w="1725" w:type="dxa"/>
            <w:tcBorders>
              <w:top w:val="single" w:sz="2" w:space="0" w:color="8F999F"/>
              <w:bottom w:val="single" w:sz="2" w:space="0" w:color="8F999F"/>
            </w:tcBorders>
          </w:tcPr>
          <w:p>
            <w:pPr>
              <w:pStyle w:val="TableParagraph"/>
              <w:ind w:left="477" w:right="434"/>
              <w:jc w:val="center"/>
              <w:rPr>
                <w:sz w:val="15"/>
              </w:rPr>
            </w:pPr>
            <w:r>
              <w:rPr>
                <w:color w:val="231F20"/>
                <w:sz w:val="15"/>
              </w:rPr>
              <w:t>02.03.2018</w:t>
            </w:r>
          </w:p>
        </w:tc>
        <w:tc>
          <w:tcPr>
            <w:tcW w:w="1705" w:type="dxa"/>
            <w:tcBorders>
              <w:top w:val="single" w:sz="2" w:space="0" w:color="8F999F"/>
              <w:bottom w:val="single" w:sz="2" w:space="0" w:color="8F999F"/>
            </w:tcBorders>
          </w:tcPr>
          <w:p>
            <w:pPr>
              <w:pStyle w:val="TableParagraph"/>
              <w:ind w:right="407"/>
              <w:jc w:val="right"/>
              <w:rPr>
                <w:sz w:val="15"/>
              </w:rPr>
            </w:pPr>
            <w:r>
              <w:rPr>
                <w:color w:val="231F20"/>
                <w:sz w:val="15"/>
              </w:rPr>
              <w:t>52.58</w:t>
            </w:r>
          </w:p>
        </w:tc>
        <w:tc>
          <w:tcPr>
            <w:tcW w:w="1347" w:type="dxa"/>
            <w:tcBorders>
              <w:top w:val="single" w:sz="2" w:space="0" w:color="8F999F"/>
              <w:bottom w:val="single" w:sz="2" w:space="0" w:color="8F999F"/>
            </w:tcBorders>
          </w:tcPr>
          <w:p>
            <w:pPr>
              <w:pStyle w:val="TableParagraph"/>
              <w:ind w:right="-15"/>
              <w:jc w:val="right"/>
              <w:rPr>
                <w:sz w:val="15"/>
              </w:rPr>
            </w:pPr>
            <w:r>
              <w:rPr>
                <w:color w:val="231F20"/>
                <w:w w:val="105"/>
                <w:sz w:val="15"/>
              </w:rPr>
              <w:t>873 230</w:t>
            </w:r>
          </w:p>
        </w:tc>
      </w:tr>
      <w:tr>
        <w:trPr>
          <w:trHeight w:val="235" w:hRule="atLeast"/>
        </w:trPr>
        <w:tc>
          <w:tcPr>
            <w:tcW w:w="2479" w:type="dxa"/>
            <w:tcBorders>
              <w:top w:val="single" w:sz="2" w:space="0" w:color="8F999F"/>
              <w:bottom w:val="single" w:sz="2" w:space="0" w:color="8F999F"/>
            </w:tcBorders>
          </w:tcPr>
          <w:p>
            <w:pPr>
              <w:pStyle w:val="TableParagraph"/>
              <w:rPr>
                <w:sz w:val="15"/>
              </w:rPr>
            </w:pPr>
            <w:r>
              <w:rPr>
                <w:color w:val="231F20"/>
                <w:sz w:val="15"/>
              </w:rPr>
              <w:t>05.03.2010</w:t>
            </w:r>
          </w:p>
        </w:tc>
        <w:tc>
          <w:tcPr>
            <w:tcW w:w="3061" w:type="dxa"/>
            <w:tcBorders>
              <w:top w:val="single" w:sz="2" w:space="0" w:color="8F999F"/>
              <w:bottom w:val="single" w:sz="2" w:space="0" w:color="8F999F"/>
            </w:tcBorders>
          </w:tcPr>
          <w:p>
            <w:pPr>
              <w:pStyle w:val="TableParagraph"/>
              <w:ind w:right="492"/>
              <w:jc w:val="right"/>
              <w:rPr>
                <w:sz w:val="15"/>
              </w:rPr>
            </w:pPr>
            <w:r>
              <w:rPr>
                <w:color w:val="231F20"/>
                <w:sz w:val="15"/>
              </w:rPr>
              <w:t>05.03.2013</w:t>
            </w:r>
          </w:p>
        </w:tc>
        <w:tc>
          <w:tcPr>
            <w:tcW w:w="1725" w:type="dxa"/>
            <w:tcBorders>
              <w:top w:val="single" w:sz="2" w:space="0" w:color="8F999F"/>
              <w:bottom w:val="single" w:sz="2" w:space="0" w:color="8F999F"/>
            </w:tcBorders>
          </w:tcPr>
          <w:p>
            <w:pPr>
              <w:pStyle w:val="TableParagraph"/>
              <w:ind w:left="477" w:right="436"/>
              <w:jc w:val="center"/>
              <w:rPr>
                <w:sz w:val="15"/>
              </w:rPr>
            </w:pPr>
            <w:r>
              <w:rPr>
                <w:color w:val="231F20"/>
                <w:sz w:val="15"/>
              </w:rPr>
              <w:t>04.03.2017</w:t>
            </w:r>
          </w:p>
        </w:tc>
        <w:tc>
          <w:tcPr>
            <w:tcW w:w="1705" w:type="dxa"/>
            <w:tcBorders>
              <w:top w:val="single" w:sz="2" w:space="0" w:color="8F999F"/>
              <w:bottom w:val="single" w:sz="2" w:space="0" w:color="8F999F"/>
            </w:tcBorders>
          </w:tcPr>
          <w:p>
            <w:pPr>
              <w:pStyle w:val="TableParagraph"/>
              <w:ind w:right="407"/>
              <w:jc w:val="right"/>
              <w:rPr>
                <w:sz w:val="15"/>
              </w:rPr>
            </w:pPr>
            <w:r>
              <w:rPr>
                <w:color w:val="231F20"/>
                <w:sz w:val="15"/>
              </w:rPr>
              <w:t>53.29</w:t>
            </w:r>
          </w:p>
        </w:tc>
        <w:tc>
          <w:tcPr>
            <w:tcW w:w="1347" w:type="dxa"/>
            <w:tcBorders>
              <w:top w:val="single" w:sz="2" w:space="0" w:color="8F999F"/>
              <w:bottom w:val="single" w:sz="2" w:space="0" w:color="8F999F"/>
            </w:tcBorders>
          </w:tcPr>
          <w:p>
            <w:pPr>
              <w:pStyle w:val="TableParagraph"/>
              <w:ind w:right="-15"/>
              <w:jc w:val="right"/>
              <w:rPr>
                <w:sz w:val="15"/>
              </w:rPr>
            </w:pPr>
            <w:r>
              <w:rPr>
                <w:color w:val="231F20"/>
                <w:w w:val="105"/>
                <w:sz w:val="15"/>
              </w:rPr>
              <w:t>384 250</w:t>
            </w:r>
          </w:p>
        </w:tc>
      </w:tr>
      <w:tr>
        <w:trPr>
          <w:trHeight w:val="235" w:hRule="atLeast"/>
        </w:trPr>
        <w:tc>
          <w:tcPr>
            <w:tcW w:w="2479" w:type="dxa"/>
            <w:tcBorders>
              <w:top w:val="single" w:sz="2" w:space="0" w:color="8F999F"/>
              <w:bottom w:val="single" w:sz="2" w:space="0" w:color="8F999F"/>
            </w:tcBorders>
          </w:tcPr>
          <w:p>
            <w:pPr>
              <w:pStyle w:val="TableParagraph"/>
              <w:rPr>
                <w:sz w:val="15"/>
              </w:rPr>
            </w:pPr>
            <w:r>
              <w:rPr>
                <w:color w:val="231F20"/>
                <w:sz w:val="15"/>
              </w:rPr>
              <w:t>01.02.2009</w:t>
            </w:r>
          </w:p>
        </w:tc>
        <w:tc>
          <w:tcPr>
            <w:tcW w:w="3061" w:type="dxa"/>
            <w:tcBorders>
              <w:top w:val="single" w:sz="2" w:space="0" w:color="8F999F"/>
              <w:bottom w:val="single" w:sz="2" w:space="0" w:color="8F999F"/>
            </w:tcBorders>
          </w:tcPr>
          <w:p>
            <w:pPr>
              <w:pStyle w:val="TableParagraph"/>
              <w:ind w:right="492"/>
              <w:jc w:val="right"/>
              <w:rPr>
                <w:sz w:val="15"/>
              </w:rPr>
            </w:pPr>
            <w:r>
              <w:rPr>
                <w:color w:val="231F20"/>
                <w:sz w:val="15"/>
              </w:rPr>
              <w:t>01.02.2012</w:t>
            </w:r>
          </w:p>
        </w:tc>
        <w:tc>
          <w:tcPr>
            <w:tcW w:w="1725" w:type="dxa"/>
            <w:tcBorders>
              <w:top w:val="single" w:sz="2" w:space="0" w:color="8F999F"/>
              <w:bottom w:val="single" w:sz="2" w:space="0" w:color="8F999F"/>
            </w:tcBorders>
          </w:tcPr>
          <w:p>
            <w:pPr>
              <w:pStyle w:val="TableParagraph"/>
              <w:ind w:left="477" w:right="408"/>
              <w:jc w:val="center"/>
              <w:rPr>
                <w:sz w:val="15"/>
              </w:rPr>
            </w:pPr>
            <w:r>
              <w:rPr>
                <w:color w:val="231F20"/>
                <w:sz w:val="15"/>
              </w:rPr>
              <w:t>31.01.2016</w:t>
            </w:r>
          </w:p>
        </w:tc>
        <w:tc>
          <w:tcPr>
            <w:tcW w:w="1705" w:type="dxa"/>
            <w:tcBorders>
              <w:top w:val="single" w:sz="2" w:space="0" w:color="8F999F"/>
              <w:bottom w:val="single" w:sz="2" w:space="0" w:color="8F999F"/>
            </w:tcBorders>
          </w:tcPr>
          <w:p>
            <w:pPr>
              <w:pStyle w:val="TableParagraph"/>
              <w:ind w:right="407"/>
              <w:jc w:val="right"/>
              <w:rPr>
                <w:sz w:val="15"/>
              </w:rPr>
            </w:pPr>
            <w:r>
              <w:rPr>
                <w:color w:val="231F20"/>
                <w:sz w:val="15"/>
              </w:rPr>
              <w:t>40.53</w:t>
            </w:r>
          </w:p>
        </w:tc>
        <w:tc>
          <w:tcPr>
            <w:tcW w:w="1347" w:type="dxa"/>
            <w:tcBorders>
              <w:top w:val="single" w:sz="2" w:space="0" w:color="8F999F"/>
              <w:bottom w:val="single" w:sz="2" w:space="0" w:color="8F999F"/>
            </w:tcBorders>
          </w:tcPr>
          <w:p>
            <w:pPr>
              <w:pStyle w:val="TableParagraph"/>
              <w:ind w:right="-15"/>
              <w:jc w:val="right"/>
              <w:rPr>
                <w:sz w:val="15"/>
              </w:rPr>
            </w:pPr>
            <w:r>
              <w:rPr>
                <w:color w:val="231F20"/>
                <w:w w:val="105"/>
                <w:sz w:val="15"/>
              </w:rPr>
              <w:t>502 500</w:t>
            </w:r>
          </w:p>
        </w:tc>
      </w:tr>
      <w:tr>
        <w:trPr>
          <w:trHeight w:val="235" w:hRule="atLeast"/>
        </w:trPr>
        <w:tc>
          <w:tcPr>
            <w:tcW w:w="2479" w:type="dxa"/>
            <w:tcBorders>
              <w:top w:val="single" w:sz="2" w:space="0" w:color="8F999F"/>
              <w:bottom w:val="single" w:sz="2" w:space="0" w:color="8F999F"/>
            </w:tcBorders>
          </w:tcPr>
          <w:p>
            <w:pPr>
              <w:pStyle w:val="TableParagraph"/>
              <w:rPr>
                <w:sz w:val="15"/>
              </w:rPr>
            </w:pPr>
            <w:r>
              <w:rPr>
                <w:color w:val="231F20"/>
                <w:sz w:val="15"/>
              </w:rPr>
              <w:t>01.02.2008</w:t>
            </w:r>
          </w:p>
        </w:tc>
        <w:tc>
          <w:tcPr>
            <w:tcW w:w="3061" w:type="dxa"/>
            <w:tcBorders>
              <w:top w:val="single" w:sz="2" w:space="0" w:color="8F999F"/>
              <w:bottom w:val="single" w:sz="2" w:space="0" w:color="8F999F"/>
            </w:tcBorders>
          </w:tcPr>
          <w:p>
            <w:pPr>
              <w:pStyle w:val="TableParagraph"/>
              <w:ind w:right="492"/>
              <w:jc w:val="right"/>
              <w:rPr>
                <w:sz w:val="15"/>
              </w:rPr>
            </w:pPr>
            <w:r>
              <w:rPr>
                <w:color w:val="231F20"/>
                <w:sz w:val="15"/>
              </w:rPr>
              <w:t>01.02.2011</w:t>
            </w:r>
          </w:p>
        </w:tc>
        <w:tc>
          <w:tcPr>
            <w:tcW w:w="1725" w:type="dxa"/>
            <w:tcBorders>
              <w:top w:val="single" w:sz="2" w:space="0" w:color="8F999F"/>
              <w:bottom w:val="single" w:sz="2" w:space="0" w:color="8F999F"/>
            </w:tcBorders>
          </w:tcPr>
          <w:p>
            <w:pPr>
              <w:pStyle w:val="TableParagraph"/>
              <w:ind w:left="477" w:right="407"/>
              <w:jc w:val="center"/>
              <w:rPr>
                <w:sz w:val="15"/>
              </w:rPr>
            </w:pPr>
            <w:r>
              <w:rPr>
                <w:color w:val="231F20"/>
                <w:sz w:val="15"/>
              </w:rPr>
              <w:t>31.01.2015</w:t>
            </w:r>
          </w:p>
        </w:tc>
        <w:tc>
          <w:tcPr>
            <w:tcW w:w="1705" w:type="dxa"/>
            <w:tcBorders>
              <w:top w:val="single" w:sz="2" w:space="0" w:color="8F999F"/>
              <w:bottom w:val="single" w:sz="2" w:space="0" w:color="8F999F"/>
            </w:tcBorders>
          </w:tcPr>
          <w:p>
            <w:pPr>
              <w:pStyle w:val="TableParagraph"/>
              <w:ind w:right="407"/>
              <w:jc w:val="right"/>
              <w:rPr>
                <w:sz w:val="15"/>
              </w:rPr>
            </w:pPr>
            <w:r>
              <w:rPr>
                <w:color w:val="231F20"/>
                <w:sz w:val="15"/>
              </w:rPr>
              <w:t>47.38</w:t>
            </w:r>
          </w:p>
        </w:tc>
        <w:tc>
          <w:tcPr>
            <w:tcW w:w="1347" w:type="dxa"/>
            <w:tcBorders>
              <w:top w:val="single" w:sz="2" w:space="0" w:color="8F999F"/>
              <w:bottom w:val="single" w:sz="2" w:space="0" w:color="8F999F"/>
            </w:tcBorders>
          </w:tcPr>
          <w:p>
            <w:pPr>
              <w:pStyle w:val="TableParagraph"/>
              <w:ind w:right="-15"/>
              <w:jc w:val="right"/>
              <w:rPr>
                <w:sz w:val="15"/>
              </w:rPr>
            </w:pPr>
            <w:r>
              <w:rPr>
                <w:color w:val="231F20"/>
                <w:w w:val="105"/>
                <w:sz w:val="15"/>
              </w:rPr>
              <w:t>185 000</w:t>
            </w:r>
          </w:p>
        </w:tc>
      </w:tr>
      <w:tr>
        <w:trPr>
          <w:trHeight w:val="235" w:hRule="atLeast"/>
        </w:trPr>
        <w:tc>
          <w:tcPr>
            <w:tcW w:w="2479" w:type="dxa"/>
            <w:tcBorders>
              <w:top w:val="single" w:sz="2" w:space="0" w:color="8F999F"/>
              <w:bottom w:val="single" w:sz="4" w:space="0" w:color="231F20"/>
            </w:tcBorders>
          </w:tcPr>
          <w:p>
            <w:pPr>
              <w:pStyle w:val="TableParagraph"/>
              <w:rPr>
                <w:b/>
                <w:sz w:val="15"/>
              </w:rPr>
            </w:pPr>
            <w:r>
              <w:rPr>
                <w:b/>
                <w:color w:val="586670"/>
                <w:sz w:val="15"/>
              </w:rPr>
              <w:t>Total</w:t>
            </w:r>
          </w:p>
        </w:tc>
        <w:tc>
          <w:tcPr>
            <w:tcW w:w="3061" w:type="dxa"/>
            <w:tcBorders>
              <w:top w:val="single" w:sz="2" w:space="0" w:color="8F999F"/>
              <w:bottom w:val="single" w:sz="4" w:space="0" w:color="231F20"/>
            </w:tcBorders>
          </w:tcPr>
          <w:p>
            <w:pPr>
              <w:pStyle w:val="TableParagraph"/>
              <w:spacing w:line="240" w:lineRule="auto" w:before="0"/>
              <w:rPr>
                <w:rFonts w:ascii="Times New Roman"/>
                <w:sz w:val="16"/>
              </w:rPr>
            </w:pPr>
          </w:p>
        </w:tc>
        <w:tc>
          <w:tcPr>
            <w:tcW w:w="1725" w:type="dxa"/>
            <w:tcBorders>
              <w:top w:val="single" w:sz="2" w:space="0" w:color="8F999F"/>
              <w:bottom w:val="single" w:sz="4" w:space="0" w:color="231F20"/>
            </w:tcBorders>
          </w:tcPr>
          <w:p>
            <w:pPr>
              <w:pStyle w:val="TableParagraph"/>
              <w:spacing w:line="240" w:lineRule="auto" w:before="0"/>
              <w:rPr>
                <w:rFonts w:ascii="Times New Roman"/>
                <w:sz w:val="16"/>
              </w:rPr>
            </w:pPr>
          </w:p>
        </w:tc>
        <w:tc>
          <w:tcPr>
            <w:tcW w:w="1705" w:type="dxa"/>
            <w:tcBorders>
              <w:top w:val="single" w:sz="2" w:space="0" w:color="8F999F"/>
              <w:bottom w:val="single" w:sz="4" w:space="0" w:color="231F20"/>
            </w:tcBorders>
          </w:tcPr>
          <w:p>
            <w:pPr>
              <w:pStyle w:val="TableParagraph"/>
              <w:spacing w:line="240" w:lineRule="auto" w:before="0"/>
              <w:rPr>
                <w:rFonts w:ascii="Times New Roman"/>
                <w:sz w:val="16"/>
              </w:rPr>
            </w:pPr>
          </w:p>
        </w:tc>
        <w:tc>
          <w:tcPr>
            <w:tcW w:w="1347" w:type="dxa"/>
            <w:tcBorders>
              <w:top w:val="single" w:sz="2" w:space="0" w:color="8F999F"/>
              <w:bottom w:val="single" w:sz="4" w:space="0" w:color="231F20"/>
            </w:tcBorders>
          </w:tcPr>
          <w:p>
            <w:pPr>
              <w:pStyle w:val="TableParagraph"/>
              <w:ind w:right="-15"/>
              <w:jc w:val="right"/>
              <w:rPr>
                <w:b/>
                <w:sz w:val="15"/>
              </w:rPr>
            </w:pPr>
            <w:r>
              <w:rPr>
                <w:b/>
                <w:color w:val="586670"/>
                <w:w w:val="105"/>
                <w:sz w:val="15"/>
              </w:rPr>
              <w:t>3 165 550</w:t>
            </w:r>
          </w:p>
        </w:tc>
      </w:tr>
    </w:tbl>
    <w:p>
      <w:pPr>
        <w:spacing w:after="0"/>
        <w:jc w:val="right"/>
        <w:rPr>
          <w:sz w:val="15"/>
        </w:rPr>
        <w:sectPr>
          <w:pgSz w:w="11910" w:h="14750"/>
          <w:pgMar w:header="642" w:footer="509" w:top="840" w:bottom="700" w:left="460" w:right="460"/>
        </w:sectPr>
      </w:pPr>
    </w:p>
    <w:p>
      <w:pPr>
        <w:pStyle w:val="BodyText"/>
        <w:rPr>
          <w:b/>
          <w:sz w:val="20"/>
        </w:rPr>
      </w:pPr>
    </w:p>
    <w:p>
      <w:pPr>
        <w:pStyle w:val="BodyText"/>
        <w:rPr>
          <w:b/>
          <w:sz w:val="20"/>
        </w:rPr>
      </w:pPr>
    </w:p>
    <w:p>
      <w:pPr>
        <w:pStyle w:val="BodyText"/>
        <w:spacing w:before="4"/>
        <w:rPr>
          <w:b/>
          <w:sz w:val="24"/>
        </w:rPr>
      </w:pPr>
    </w:p>
    <w:tbl>
      <w:tblPr>
        <w:tblW w:w="0" w:type="auto"/>
        <w:jc w:val="left"/>
        <w:tblInd w:w="1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7319"/>
        <w:gridCol w:w="1618"/>
        <w:gridCol w:w="1381"/>
      </w:tblGrid>
      <w:tr>
        <w:trPr>
          <w:trHeight w:val="708" w:hRule="atLeast"/>
        </w:trPr>
        <w:tc>
          <w:tcPr>
            <w:tcW w:w="7319" w:type="dxa"/>
            <w:tcBorders>
              <w:bottom w:val="single" w:sz="2" w:space="0" w:color="231F20"/>
            </w:tcBorders>
          </w:tcPr>
          <w:p>
            <w:pPr>
              <w:pStyle w:val="TableParagraph"/>
              <w:spacing w:line="276" w:lineRule="auto" w:before="8"/>
              <w:ind w:right="285"/>
              <w:rPr>
                <w:b/>
                <w:sz w:val="18"/>
              </w:rPr>
            </w:pPr>
            <w:r>
              <w:rPr>
                <w:b/>
                <w:color w:val="586670"/>
                <w:w w:val="110"/>
                <w:sz w:val="18"/>
              </w:rPr>
              <w:t>Shares and stock options ownership of the members of the Executive Board and closely related parties on 31 December 2013</w:t>
            </w:r>
          </w:p>
        </w:tc>
        <w:tc>
          <w:tcPr>
            <w:tcW w:w="2999" w:type="dxa"/>
            <w:gridSpan w:val="2"/>
            <w:tcBorders>
              <w:bottom w:val="single" w:sz="2" w:space="0" w:color="231F20"/>
            </w:tcBorders>
          </w:tcPr>
          <w:p>
            <w:pPr>
              <w:pStyle w:val="TableParagraph"/>
              <w:spacing w:line="240" w:lineRule="auto" w:before="0"/>
              <w:rPr>
                <w:rFonts w:ascii="Times New Roman"/>
                <w:sz w:val="16"/>
              </w:rPr>
            </w:pPr>
          </w:p>
        </w:tc>
      </w:tr>
      <w:tr>
        <w:trPr>
          <w:trHeight w:val="477" w:hRule="atLeast"/>
        </w:trPr>
        <w:tc>
          <w:tcPr>
            <w:tcW w:w="7319" w:type="dxa"/>
            <w:tcBorders>
              <w:top w:val="single" w:sz="2" w:space="0" w:color="231F20"/>
              <w:bottom w:val="single" w:sz="2" w:space="0" w:color="231F20"/>
            </w:tcBorders>
          </w:tcPr>
          <w:p>
            <w:pPr>
              <w:pStyle w:val="TableParagraph"/>
              <w:spacing w:line="240" w:lineRule="auto" w:before="0"/>
              <w:rPr>
                <w:rFonts w:ascii="Times New Roman"/>
                <w:sz w:val="16"/>
              </w:rPr>
            </w:pPr>
          </w:p>
        </w:tc>
        <w:tc>
          <w:tcPr>
            <w:tcW w:w="1618" w:type="dxa"/>
            <w:tcBorders>
              <w:top w:val="single" w:sz="2" w:space="0" w:color="231F20"/>
              <w:bottom w:val="single" w:sz="2" w:space="0" w:color="231F20"/>
            </w:tcBorders>
          </w:tcPr>
          <w:p>
            <w:pPr>
              <w:pStyle w:val="TableParagraph"/>
              <w:spacing w:line="247" w:lineRule="auto"/>
              <w:ind w:left="306" w:right="361" w:firstLine="203"/>
              <w:rPr>
                <w:sz w:val="10"/>
              </w:rPr>
            </w:pPr>
            <w:r>
              <w:rPr>
                <w:color w:val="231F20"/>
                <w:sz w:val="15"/>
              </w:rPr>
              <w:t>Number of shares held </w:t>
            </w:r>
            <w:r>
              <w:rPr>
                <w:color w:val="231F20"/>
                <w:position w:val="4"/>
                <w:sz w:val="10"/>
              </w:rPr>
              <w:t>(a)</w:t>
            </w:r>
          </w:p>
        </w:tc>
        <w:tc>
          <w:tcPr>
            <w:tcW w:w="1381" w:type="dxa"/>
            <w:tcBorders>
              <w:top w:val="single" w:sz="2" w:space="0" w:color="231F20"/>
              <w:bottom w:val="single" w:sz="2" w:space="0" w:color="231F20"/>
            </w:tcBorders>
          </w:tcPr>
          <w:p>
            <w:pPr>
              <w:pStyle w:val="TableParagraph"/>
              <w:spacing w:line="247" w:lineRule="auto"/>
              <w:ind w:left="376" w:right="-15" w:firstLine="273"/>
              <w:rPr>
                <w:sz w:val="10"/>
              </w:rPr>
            </w:pPr>
            <w:r>
              <w:rPr>
                <w:color w:val="231F20"/>
                <w:sz w:val="15"/>
              </w:rPr>
              <w:t>Number of options held</w:t>
            </w:r>
            <w:r>
              <w:rPr>
                <w:color w:val="231F20"/>
                <w:spacing w:val="-5"/>
                <w:sz w:val="15"/>
              </w:rPr>
              <w:t> </w:t>
            </w:r>
            <w:r>
              <w:rPr>
                <w:color w:val="231F20"/>
                <w:position w:val="4"/>
                <w:sz w:val="10"/>
              </w:rPr>
              <w:t>(b)</w:t>
            </w:r>
          </w:p>
        </w:tc>
      </w:tr>
      <w:tr>
        <w:trPr>
          <w:trHeight w:val="232" w:hRule="atLeast"/>
        </w:trPr>
        <w:tc>
          <w:tcPr>
            <w:tcW w:w="7319" w:type="dxa"/>
            <w:tcBorders>
              <w:top w:val="single" w:sz="2" w:space="0" w:color="231F20"/>
              <w:bottom w:val="single" w:sz="2" w:space="0" w:color="8F999F"/>
            </w:tcBorders>
          </w:tcPr>
          <w:p>
            <w:pPr>
              <w:pStyle w:val="TableParagraph"/>
              <w:spacing w:before="40"/>
              <w:rPr>
                <w:sz w:val="15"/>
              </w:rPr>
            </w:pPr>
            <w:r>
              <w:rPr>
                <w:color w:val="231F20"/>
                <w:sz w:val="15"/>
              </w:rPr>
              <w:t>Paul Bulcke, Chief Executive Officer</w:t>
            </w:r>
          </w:p>
        </w:tc>
        <w:tc>
          <w:tcPr>
            <w:tcW w:w="1618" w:type="dxa"/>
            <w:tcBorders>
              <w:top w:val="single" w:sz="2" w:space="0" w:color="231F20"/>
              <w:bottom w:val="single" w:sz="2" w:space="0" w:color="8F999F"/>
            </w:tcBorders>
          </w:tcPr>
          <w:p>
            <w:pPr>
              <w:pStyle w:val="TableParagraph"/>
              <w:spacing w:before="40"/>
              <w:ind w:right="374"/>
              <w:jc w:val="right"/>
              <w:rPr>
                <w:sz w:val="15"/>
              </w:rPr>
            </w:pPr>
            <w:r>
              <w:rPr>
                <w:color w:val="0083CA"/>
                <w:w w:val="105"/>
                <w:sz w:val="15"/>
              </w:rPr>
              <w:t>538 500</w:t>
            </w:r>
          </w:p>
        </w:tc>
        <w:tc>
          <w:tcPr>
            <w:tcW w:w="1381" w:type="dxa"/>
            <w:tcBorders>
              <w:top w:val="single" w:sz="2" w:space="0" w:color="231F20"/>
              <w:bottom w:val="single" w:sz="2" w:space="0" w:color="8F999F"/>
            </w:tcBorders>
          </w:tcPr>
          <w:p>
            <w:pPr>
              <w:pStyle w:val="TableParagraph"/>
              <w:spacing w:before="40"/>
              <w:ind w:right="-15"/>
              <w:jc w:val="right"/>
              <w:rPr>
                <w:sz w:val="15"/>
              </w:rPr>
            </w:pPr>
            <w:r>
              <w:rPr>
                <w:color w:val="0083CA"/>
                <w:w w:val="105"/>
                <w:sz w:val="15"/>
              </w:rPr>
              <w:t>1 677 000</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sz w:val="15"/>
              </w:rPr>
              <w:t>Luis Cantarell</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105 535</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05"/>
                <w:sz w:val="15"/>
              </w:rPr>
              <w:t>436 250</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w w:val="105"/>
                <w:sz w:val="15"/>
              </w:rPr>
              <w:t>José Lopez</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73 721</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05"/>
                <w:sz w:val="15"/>
              </w:rPr>
              <w:t>215 600</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sz w:val="15"/>
              </w:rPr>
              <w:t>Laurent Freixe</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46 132</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05"/>
                <w:sz w:val="15"/>
              </w:rPr>
              <w:t>194 300</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w w:val="105"/>
                <w:sz w:val="15"/>
              </w:rPr>
              <w:t>Chris Johnson</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18 093</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05"/>
                <w:sz w:val="15"/>
              </w:rPr>
              <w:t>185 400</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sz w:val="15"/>
              </w:rPr>
              <w:t>Patrice Bula</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63 217</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05"/>
                <w:sz w:val="15"/>
              </w:rPr>
              <w:t>165 700</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sz w:val="15"/>
              </w:rPr>
              <w:t>Doreswamy (Nandu) Nandkishore</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79 994</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05"/>
                <w:sz w:val="15"/>
              </w:rPr>
              <w:t>170 200</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w w:val="105"/>
                <w:sz w:val="15"/>
              </w:rPr>
              <w:t>Wan Ling Martello</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22 360</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05"/>
                <w:sz w:val="15"/>
              </w:rPr>
              <w:t>121 100</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sz w:val="15"/>
              </w:rPr>
              <w:t>Stefan Catsicas</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39"/>
                <w:sz w:val="15"/>
              </w:rPr>
              <w:t>–</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39"/>
                <w:sz w:val="15"/>
              </w:rPr>
              <w:t>–</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sz w:val="15"/>
              </w:rPr>
              <w:t>Marco Settembri</w:t>
            </w:r>
          </w:p>
        </w:tc>
        <w:tc>
          <w:tcPr>
            <w:tcW w:w="1618" w:type="dxa"/>
            <w:tcBorders>
              <w:top w:val="single" w:sz="2" w:space="0" w:color="8F999F"/>
              <w:bottom w:val="single" w:sz="2" w:space="0" w:color="8F999F"/>
            </w:tcBorders>
          </w:tcPr>
          <w:p>
            <w:pPr>
              <w:pStyle w:val="TableParagraph"/>
              <w:ind w:right="379"/>
              <w:jc w:val="right"/>
              <w:rPr>
                <w:sz w:val="15"/>
              </w:rPr>
            </w:pPr>
            <w:r>
              <w:rPr>
                <w:color w:val="0083CA"/>
                <w:w w:val="105"/>
                <w:sz w:val="15"/>
              </w:rPr>
              <w:t>10 110</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39"/>
                <w:sz w:val="15"/>
              </w:rPr>
              <w:t>–</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sz w:val="15"/>
              </w:rPr>
              <w:t>Peter R. Vogt</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28 075</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39"/>
                <w:sz w:val="15"/>
              </w:rPr>
              <w:t>–</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sz w:val="15"/>
              </w:rPr>
              <w:t>Martial Rolland</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15 590</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39"/>
                <w:sz w:val="15"/>
              </w:rPr>
              <w:t>–</w:t>
            </w:r>
          </w:p>
        </w:tc>
      </w:tr>
      <w:tr>
        <w:trPr>
          <w:trHeight w:val="235" w:hRule="atLeast"/>
        </w:trPr>
        <w:tc>
          <w:tcPr>
            <w:tcW w:w="7319" w:type="dxa"/>
            <w:tcBorders>
              <w:top w:val="single" w:sz="2" w:space="0" w:color="8F999F"/>
              <w:bottom w:val="single" w:sz="2" w:space="0" w:color="8F999F"/>
            </w:tcBorders>
          </w:tcPr>
          <w:p>
            <w:pPr>
              <w:pStyle w:val="TableParagraph"/>
              <w:rPr>
                <w:sz w:val="15"/>
              </w:rPr>
            </w:pPr>
            <w:r>
              <w:rPr>
                <w:color w:val="231F20"/>
                <w:sz w:val="15"/>
              </w:rPr>
              <w:t>David P. Frick</w:t>
            </w:r>
          </w:p>
        </w:tc>
        <w:tc>
          <w:tcPr>
            <w:tcW w:w="1618" w:type="dxa"/>
            <w:tcBorders>
              <w:top w:val="single" w:sz="2" w:space="0" w:color="8F999F"/>
              <w:bottom w:val="single" w:sz="2" w:space="0" w:color="8F999F"/>
            </w:tcBorders>
          </w:tcPr>
          <w:p>
            <w:pPr>
              <w:pStyle w:val="TableParagraph"/>
              <w:ind w:right="374"/>
              <w:jc w:val="right"/>
              <w:rPr>
                <w:sz w:val="15"/>
              </w:rPr>
            </w:pPr>
            <w:r>
              <w:rPr>
                <w:color w:val="0083CA"/>
                <w:w w:val="105"/>
                <w:sz w:val="15"/>
              </w:rPr>
              <w:t>41 699</w:t>
            </w:r>
          </w:p>
        </w:tc>
        <w:tc>
          <w:tcPr>
            <w:tcW w:w="1381" w:type="dxa"/>
            <w:tcBorders>
              <w:top w:val="single" w:sz="2" w:space="0" w:color="8F999F"/>
              <w:bottom w:val="single" w:sz="2" w:space="0" w:color="8F999F"/>
            </w:tcBorders>
          </w:tcPr>
          <w:p>
            <w:pPr>
              <w:pStyle w:val="TableParagraph"/>
              <w:ind w:right="-15"/>
              <w:jc w:val="right"/>
              <w:rPr>
                <w:sz w:val="15"/>
              </w:rPr>
            </w:pPr>
            <w:r>
              <w:rPr>
                <w:color w:val="0083CA"/>
                <w:w w:val="139"/>
                <w:sz w:val="15"/>
              </w:rPr>
              <w:t>–</w:t>
            </w:r>
          </w:p>
        </w:tc>
      </w:tr>
      <w:tr>
        <w:trPr>
          <w:trHeight w:val="235" w:hRule="atLeast"/>
        </w:trPr>
        <w:tc>
          <w:tcPr>
            <w:tcW w:w="7319" w:type="dxa"/>
            <w:tcBorders>
              <w:top w:val="single" w:sz="2" w:space="0" w:color="8F999F"/>
              <w:bottom w:val="single" w:sz="4" w:space="0" w:color="231F20"/>
            </w:tcBorders>
          </w:tcPr>
          <w:p>
            <w:pPr>
              <w:pStyle w:val="TableParagraph"/>
              <w:rPr>
                <w:b/>
                <w:sz w:val="15"/>
              </w:rPr>
            </w:pPr>
            <w:r>
              <w:rPr>
                <w:b/>
                <w:color w:val="586670"/>
                <w:w w:val="105"/>
                <w:sz w:val="15"/>
              </w:rPr>
              <w:t>Total as at 31 December 2013</w:t>
            </w:r>
          </w:p>
        </w:tc>
        <w:tc>
          <w:tcPr>
            <w:tcW w:w="1618" w:type="dxa"/>
            <w:tcBorders>
              <w:top w:val="single" w:sz="2" w:space="0" w:color="8F999F"/>
              <w:bottom w:val="single" w:sz="4" w:space="0" w:color="231F20"/>
            </w:tcBorders>
          </w:tcPr>
          <w:p>
            <w:pPr>
              <w:pStyle w:val="TableParagraph"/>
              <w:ind w:right="374"/>
              <w:jc w:val="right"/>
              <w:rPr>
                <w:b/>
                <w:sz w:val="15"/>
              </w:rPr>
            </w:pPr>
            <w:r>
              <w:rPr>
                <w:b/>
                <w:color w:val="0083CA"/>
                <w:w w:val="105"/>
                <w:sz w:val="15"/>
              </w:rPr>
              <w:t>1 043 026</w:t>
            </w:r>
          </w:p>
        </w:tc>
        <w:tc>
          <w:tcPr>
            <w:tcW w:w="1381" w:type="dxa"/>
            <w:tcBorders>
              <w:top w:val="single" w:sz="2" w:space="0" w:color="8F999F"/>
              <w:bottom w:val="single" w:sz="4" w:space="0" w:color="231F20"/>
            </w:tcBorders>
          </w:tcPr>
          <w:p>
            <w:pPr>
              <w:pStyle w:val="TableParagraph"/>
              <w:ind w:right="-15"/>
              <w:jc w:val="right"/>
              <w:rPr>
                <w:b/>
                <w:sz w:val="15"/>
              </w:rPr>
            </w:pPr>
            <w:r>
              <w:rPr>
                <w:b/>
                <w:color w:val="0083CA"/>
                <w:w w:val="105"/>
                <w:sz w:val="15"/>
              </w:rPr>
              <w:t>3 165 550</w:t>
            </w:r>
          </w:p>
        </w:tc>
      </w:tr>
      <w:tr>
        <w:trPr>
          <w:trHeight w:val="230" w:hRule="atLeast"/>
        </w:trPr>
        <w:tc>
          <w:tcPr>
            <w:tcW w:w="7319" w:type="dxa"/>
            <w:tcBorders>
              <w:top w:val="single" w:sz="4" w:space="0" w:color="231F20"/>
              <w:bottom w:val="single" w:sz="2" w:space="0" w:color="8F999F"/>
            </w:tcBorders>
          </w:tcPr>
          <w:p>
            <w:pPr>
              <w:pStyle w:val="TableParagraph"/>
              <w:spacing w:line="240" w:lineRule="auto" w:before="0"/>
              <w:rPr>
                <w:rFonts w:ascii="Times New Roman"/>
                <w:sz w:val="16"/>
              </w:rPr>
            </w:pPr>
          </w:p>
        </w:tc>
        <w:tc>
          <w:tcPr>
            <w:tcW w:w="1618" w:type="dxa"/>
            <w:tcBorders>
              <w:top w:val="single" w:sz="4" w:space="0" w:color="231F20"/>
              <w:bottom w:val="single" w:sz="2" w:space="0" w:color="8F999F"/>
            </w:tcBorders>
          </w:tcPr>
          <w:p>
            <w:pPr>
              <w:pStyle w:val="TableParagraph"/>
              <w:spacing w:line="240" w:lineRule="auto" w:before="0"/>
              <w:rPr>
                <w:rFonts w:ascii="Times New Roman"/>
                <w:sz w:val="16"/>
              </w:rPr>
            </w:pPr>
          </w:p>
        </w:tc>
        <w:tc>
          <w:tcPr>
            <w:tcW w:w="1381" w:type="dxa"/>
            <w:tcBorders>
              <w:top w:val="single" w:sz="4" w:space="0" w:color="231F20"/>
              <w:bottom w:val="single" w:sz="2" w:space="0" w:color="8F999F"/>
            </w:tcBorders>
          </w:tcPr>
          <w:p>
            <w:pPr>
              <w:pStyle w:val="TableParagraph"/>
              <w:spacing w:line="240" w:lineRule="auto" w:before="0"/>
              <w:rPr>
                <w:rFonts w:ascii="Times New Roman"/>
                <w:sz w:val="16"/>
              </w:rPr>
            </w:pPr>
          </w:p>
        </w:tc>
      </w:tr>
      <w:tr>
        <w:trPr>
          <w:trHeight w:val="235" w:hRule="atLeast"/>
        </w:trPr>
        <w:tc>
          <w:tcPr>
            <w:tcW w:w="7319" w:type="dxa"/>
            <w:tcBorders>
              <w:top w:val="single" w:sz="2" w:space="0" w:color="8F999F"/>
              <w:bottom w:val="single" w:sz="4" w:space="0" w:color="231F20"/>
            </w:tcBorders>
          </w:tcPr>
          <w:p>
            <w:pPr>
              <w:pStyle w:val="TableParagraph"/>
              <w:rPr>
                <w:sz w:val="15"/>
              </w:rPr>
            </w:pPr>
            <w:r>
              <w:rPr>
                <w:color w:val="231F20"/>
                <w:sz w:val="15"/>
              </w:rPr>
              <w:t>Total as at 31 December 2012</w:t>
            </w:r>
          </w:p>
        </w:tc>
        <w:tc>
          <w:tcPr>
            <w:tcW w:w="1618" w:type="dxa"/>
            <w:tcBorders>
              <w:top w:val="single" w:sz="2" w:space="0" w:color="8F999F"/>
              <w:bottom w:val="single" w:sz="4" w:space="0" w:color="231F20"/>
            </w:tcBorders>
          </w:tcPr>
          <w:p>
            <w:pPr>
              <w:pStyle w:val="TableParagraph"/>
              <w:ind w:right="374"/>
              <w:jc w:val="right"/>
              <w:rPr>
                <w:sz w:val="15"/>
              </w:rPr>
            </w:pPr>
            <w:r>
              <w:rPr>
                <w:color w:val="231F20"/>
                <w:w w:val="105"/>
                <w:sz w:val="15"/>
              </w:rPr>
              <w:t>1 106 156</w:t>
            </w:r>
          </w:p>
        </w:tc>
        <w:tc>
          <w:tcPr>
            <w:tcW w:w="1381" w:type="dxa"/>
            <w:tcBorders>
              <w:top w:val="single" w:sz="2" w:space="0" w:color="8F999F"/>
              <w:bottom w:val="single" w:sz="4" w:space="0" w:color="231F20"/>
            </w:tcBorders>
          </w:tcPr>
          <w:p>
            <w:pPr>
              <w:pStyle w:val="TableParagraph"/>
              <w:ind w:right="-15"/>
              <w:jc w:val="right"/>
              <w:rPr>
                <w:sz w:val="15"/>
              </w:rPr>
            </w:pPr>
            <w:r>
              <w:rPr>
                <w:color w:val="231F20"/>
                <w:w w:val="105"/>
                <w:sz w:val="15"/>
              </w:rPr>
              <w:t>4 714 800</w:t>
            </w:r>
          </w:p>
        </w:tc>
      </w:tr>
      <w:tr>
        <w:trPr>
          <w:trHeight w:val="607" w:hRule="atLeast"/>
        </w:trPr>
        <w:tc>
          <w:tcPr>
            <w:tcW w:w="7319" w:type="dxa"/>
            <w:tcBorders>
              <w:top w:val="single" w:sz="4" w:space="0" w:color="231F20"/>
            </w:tcBorders>
          </w:tcPr>
          <w:p>
            <w:pPr>
              <w:pStyle w:val="TableParagraph"/>
              <w:spacing w:line="240" w:lineRule="auto" w:before="0"/>
              <w:rPr>
                <w:b/>
                <w:sz w:val="14"/>
              </w:rPr>
            </w:pPr>
          </w:p>
          <w:p>
            <w:pPr>
              <w:pStyle w:val="TableParagraph"/>
              <w:spacing w:line="240" w:lineRule="auto" w:before="6"/>
              <w:rPr>
                <w:b/>
                <w:sz w:val="11"/>
              </w:rPr>
            </w:pPr>
          </w:p>
          <w:p>
            <w:pPr>
              <w:pStyle w:val="TableParagraph"/>
              <w:numPr>
                <w:ilvl w:val="0"/>
                <w:numId w:val="24"/>
              </w:numPr>
              <w:tabs>
                <w:tab w:pos="227" w:val="left" w:leader="none"/>
              </w:tabs>
              <w:spacing w:line="240" w:lineRule="auto" w:before="0" w:after="0"/>
              <w:ind w:left="226" w:right="0" w:hanging="226"/>
              <w:jc w:val="left"/>
              <w:rPr>
                <w:sz w:val="13"/>
              </w:rPr>
            </w:pPr>
            <w:r>
              <w:rPr>
                <w:color w:val="586670"/>
                <w:sz w:val="13"/>
              </w:rPr>
              <w:t>Including</w:t>
            </w:r>
            <w:r>
              <w:rPr>
                <w:color w:val="586670"/>
                <w:spacing w:val="-7"/>
                <w:sz w:val="13"/>
              </w:rPr>
              <w:t> </w:t>
            </w:r>
            <w:r>
              <w:rPr>
                <w:color w:val="586670"/>
                <w:sz w:val="13"/>
              </w:rPr>
              <w:t>shares</w:t>
            </w:r>
            <w:r>
              <w:rPr>
                <w:color w:val="586670"/>
                <w:spacing w:val="-7"/>
                <w:sz w:val="13"/>
              </w:rPr>
              <w:t> </w:t>
            </w:r>
            <w:r>
              <w:rPr>
                <w:color w:val="586670"/>
                <w:sz w:val="13"/>
              </w:rPr>
              <w:t>subject</w:t>
            </w:r>
            <w:r>
              <w:rPr>
                <w:color w:val="586670"/>
                <w:spacing w:val="-6"/>
                <w:sz w:val="13"/>
              </w:rPr>
              <w:t> </w:t>
            </w:r>
            <w:r>
              <w:rPr>
                <w:color w:val="586670"/>
                <w:sz w:val="13"/>
              </w:rPr>
              <w:t>to</w:t>
            </w:r>
            <w:r>
              <w:rPr>
                <w:color w:val="586670"/>
                <w:spacing w:val="-7"/>
                <w:sz w:val="13"/>
              </w:rPr>
              <w:t> </w:t>
            </w:r>
            <w:r>
              <w:rPr>
                <w:color w:val="586670"/>
                <w:sz w:val="13"/>
              </w:rPr>
              <w:t>a</w:t>
            </w:r>
            <w:r>
              <w:rPr>
                <w:color w:val="586670"/>
                <w:spacing w:val="-7"/>
                <w:sz w:val="13"/>
              </w:rPr>
              <w:t> </w:t>
            </w:r>
            <w:r>
              <w:rPr>
                <w:color w:val="586670"/>
                <w:spacing w:val="2"/>
                <w:sz w:val="13"/>
              </w:rPr>
              <w:t>three-year</w:t>
            </w:r>
            <w:r>
              <w:rPr>
                <w:color w:val="586670"/>
                <w:spacing w:val="-6"/>
                <w:sz w:val="13"/>
              </w:rPr>
              <w:t> </w:t>
            </w:r>
            <w:r>
              <w:rPr>
                <w:color w:val="586670"/>
                <w:sz w:val="13"/>
              </w:rPr>
              <w:t>blocking</w:t>
            </w:r>
            <w:r>
              <w:rPr>
                <w:color w:val="586670"/>
                <w:spacing w:val="-7"/>
                <w:sz w:val="13"/>
              </w:rPr>
              <w:t> </w:t>
            </w:r>
            <w:r>
              <w:rPr>
                <w:color w:val="586670"/>
                <w:sz w:val="13"/>
              </w:rPr>
              <w:t>period.</w:t>
            </w:r>
          </w:p>
          <w:p>
            <w:pPr>
              <w:pStyle w:val="TableParagraph"/>
              <w:numPr>
                <w:ilvl w:val="0"/>
                <w:numId w:val="24"/>
              </w:numPr>
              <w:tabs>
                <w:tab w:pos="227" w:val="left" w:leader="none"/>
              </w:tabs>
              <w:spacing w:line="130" w:lineRule="exact" w:before="9" w:after="0"/>
              <w:ind w:left="226" w:right="0" w:hanging="226"/>
              <w:jc w:val="left"/>
              <w:rPr>
                <w:sz w:val="13"/>
              </w:rPr>
            </w:pPr>
            <w:r>
              <w:rPr>
                <w:color w:val="586670"/>
                <w:sz w:val="13"/>
              </w:rPr>
              <w:t>The</w:t>
            </w:r>
            <w:r>
              <w:rPr>
                <w:color w:val="586670"/>
                <w:spacing w:val="-7"/>
                <w:sz w:val="13"/>
              </w:rPr>
              <w:t> </w:t>
            </w:r>
            <w:r>
              <w:rPr>
                <w:color w:val="586670"/>
                <w:sz w:val="13"/>
              </w:rPr>
              <w:t>ratio</w:t>
            </w:r>
            <w:r>
              <w:rPr>
                <w:color w:val="586670"/>
                <w:spacing w:val="-7"/>
                <w:sz w:val="13"/>
              </w:rPr>
              <w:t> </w:t>
            </w:r>
            <w:r>
              <w:rPr>
                <w:color w:val="586670"/>
                <w:sz w:val="13"/>
              </w:rPr>
              <w:t>is</w:t>
            </w:r>
            <w:r>
              <w:rPr>
                <w:color w:val="586670"/>
                <w:spacing w:val="-7"/>
                <w:sz w:val="13"/>
              </w:rPr>
              <w:t> </w:t>
            </w:r>
            <w:r>
              <w:rPr>
                <w:color w:val="586670"/>
                <w:sz w:val="13"/>
              </w:rPr>
              <w:t>one</w:t>
            </w:r>
            <w:r>
              <w:rPr>
                <w:color w:val="586670"/>
                <w:spacing w:val="-6"/>
                <w:sz w:val="13"/>
              </w:rPr>
              <w:t> </w:t>
            </w:r>
            <w:r>
              <w:rPr>
                <w:color w:val="586670"/>
                <w:sz w:val="13"/>
              </w:rPr>
              <w:t>option</w:t>
            </w:r>
            <w:r>
              <w:rPr>
                <w:color w:val="586670"/>
                <w:spacing w:val="-7"/>
                <w:sz w:val="13"/>
              </w:rPr>
              <w:t> </w:t>
            </w:r>
            <w:r>
              <w:rPr>
                <w:color w:val="586670"/>
                <w:sz w:val="13"/>
              </w:rPr>
              <w:t>for</w:t>
            </w:r>
            <w:r>
              <w:rPr>
                <w:color w:val="586670"/>
                <w:spacing w:val="-7"/>
                <w:sz w:val="13"/>
              </w:rPr>
              <w:t> </w:t>
            </w:r>
            <w:r>
              <w:rPr>
                <w:color w:val="586670"/>
                <w:sz w:val="13"/>
              </w:rPr>
              <w:t>one</w:t>
            </w:r>
            <w:r>
              <w:rPr>
                <w:color w:val="586670"/>
                <w:spacing w:val="-6"/>
                <w:sz w:val="13"/>
              </w:rPr>
              <w:t> </w:t>
            </w:r>
            <w:r>
              <w:rPr>
                <w:color w:val="586670"/>
                <w:sz w:val="13"/>
              </w:rPr>
              <w:t>Nestlé</w:t>
            </w:r>
            <w:r>
              <w:rPr>
                <w:color w:val="586670"/>
                <w:spacing w:val="-7"/>
                <w:sz w:val="13"/>
              </w:rPr>
              <w:t> </w:t>
            </w:r>
            <w:r>
              <w:rPr>
                <w:color w:val="586670"/>
                <w:spacing w:val="2"/>
                <w:sz w:val="13"/>
              </w:rPr>
              <w:t>S.A.</w:t>
            </w:r>
            <w:r>
              <w:rPr>
                <w:color w:val="586670"/>
                <w:spacing w:val="-7"/>
                <w:sz w:val="13"/>
              </w:rPr>
              <w:t> </w:t>
            </w:r>
            <w:r>
              <w:rPr>
                <w:color w:val="586670"/>
                <w:sz w:val="13"/>
              </w:rPr>
              <w:t>share.</w:t>
            </w:r>
          </w:p>
        </w:tc>
        <w:tc>
          <w:tcPr>
            <w:tcW w:w="1618" w:type="dxa"/>
            <w:tcBorders>
              <w:top w:val="single" w:sz="4" w:space="0" w:color="231F20"/>
            </w:tcBorders>
          </w:tcPr>
          <w:p>
            <w:pPr>
              <w:pStyle w:val="TableParagraph"/>
              <w:spacing w:line="240" w:lineRule="auto" w:before="0"/>
              <w:rPr>
                <w:rFonts w:ascii="Times New Roman"/>
                <w:sz w:val="16"/>
              </w:rPr>
            </w:pPr>
          </w:p>
        </w:tc>
        <w:tc>
          <w:tcPr>
            <w:tcW w:w="1381" w:type="dxa"/>
            <w:tcBorders>
              <w:top w:val="single" w:sz="4" w:space="0" w:color="231F20"/>
            </w:tcBorders>
          </w:tcPr>
          <w:p>
            <w:pPr>
              <w:pStyle w:val="TableParagraph"/>
              <w:spacing w:line="240" w:lineRule="auto" w:before="0"/>
              <w:rPr>
                <w:rFonts w:ascii="Times New Roman"/>
                <w:sz w:val="16"/>
              </w:rPr>
            </w:pPr>
          </w:p>
        </w:tc>
      </w:tr>
    </w:tbl>
    <w:p>
      <w:pPr>
        <w:pStyle w:val="BodyText"/>
        <w:spacing w:before="1"/>
        <w:rPr>
          <w:b/>
          <w:sz w:val="22"/>
        </w:rPr>
      </w:pPr>
    </w:p>
    <w:p>
      <w:pPr>
        <w:pStyle w:val="BodyText"/>
        <w:spacing w:before="106"/>
        <w:ind w:left="106"/>
      </w:pPr>
      <w:r>
        <w:rPr>
          <w:color w:val="586670"/>
        </w:rPr>
        <w:t>Loans to members of the Executive Board</w:t>
      </w:r>
    </w:p>
    <w:p>
      <w:pPr>
        <w:pStyle w:val="BodyText"/>
        <w:spacing w:before="31"/>
        <w:ind w:left="106"/>
      </w:pPr>
      <w:r>
        <w:rPr>
          <w:color w:val="231F20"/>
          <w:w w:val="105"/>
        </w:rPr>
        <w:t>On 31 December 2013, there were no loans outstanding to any member of the Executive Board.</w:t>
      </w:r>
    </w:p>
    <w:p>
      <w:pPr>
        <w:pStyle w:val="BodyText"/>
        <w:spacing w:before="4"/>
        <w:rPr>
          <w:sz w:val="23"/>
        </w:rPr>
      </w:pPr>
    </w:p>
    <w:p>
      <w:pPr>
        <w:pStyle w:val="BodyText"/>
        <w:ind w:left="106"/>
      </w:pPr>
      <w:r>
        <w:rPr>
          <w:color w:val="586670"/>
        </w:rPr>
        <w:t>Additional fees and remuneration of the Executive Board</w:t>
      </w:r>
    </w:p>
    <w:p>
      <w:pPr>
        <w:pStyle w:val="BodyText"/>
        <w:spacing w:line="276" w:lineRule="auto" w:before="31"/>
        <w:ind w:left="106" w:right="1507"/>
      </w:pPr>
      <w:r>
        <w:rPr>
          <w:color w:val="231F20"/>
        </w:rPr>
        <w:t>One member of the Executive Board, in his role of President and CEO of Nestlé Health Science S.A., also participated in </w:t>
      </w:r>
      <w:r>
        <w:rPr>
          <w:color w:val="231F20"/>
          <w:spacing w:val="-4"/>
        </w:rPr>
        <w:t>2013 </w:t>
      </w:r>
      <w:r>
        <w:rPr>
          <w:color w:val="231F20"/>
        </w:rPr>
        <w:t>in the Nestlé Health Science Long-Term Incentive Plan, a Phantom Share Unit plan based on the long-term development of that company. He was attributed </w:t>
      </w:r>
      <w:r>
        <w:rPr>
          <w:color w:val="231F20"/>
          <w:spacing w:val="-10"/>
        </w:rPr>
        <w:t>11 </w:t>
      </w:r>
      <w:r>
        <w:rPr>
          <w:color w:val="231F20"/>
          <w:spacing w:val="2"/>
        </w:rPr>
        <w:t>000 </w:t>
      </w:r>
      <w:r>
        <w:rPr>
          <w:color w:val="231F20"/>
        </w:rPr>
        <w:t>Units in </w:t>
      </w:r>
      <w:r>
        <w:rPr>
          <w:color w:val="231F20"/>
          <w:spacing w:val="-4"/>
        </w:rPr>
        <w:t>2013, </w:t>
      </w:r>
      <w:r>
        <w:rPr>
          <w:color w:val="231F20"/>
        </w:rPr>
        <w:t>with a fair value at grant of CHF 89.31 per Unit (vesting period of three years; value capped at two times the Unit price at</w:t>
      </w:r>
      <w:r>
        <w:rPr>
          <w:color w:val="231F20"/>
          <w:spacing w:val="9"/>
        </w:rPr>
        <w:t> </w:t>
      </w:r>
      <w:r>
        <w:rPr>
          <w:color w:val="231F20"/>
        </w:rPr>
        <w:t>grant).</w:t>
      </w:r>
    </w:p>
    <w:p>
      <w:pPr>
        <w:spacing w:after="0" w:line="276" w:lineRule="auto"/>
        <w:sectPr>
          <w:pgSz w:w="11910" w:h="14750"/>
          <w:pgMar w:header="642" w:footer="509" w:top="840" w:bottom="700" w:left="460" w:right="460"/>
        </w:sectPr>
      </w:pPr>
    </w:p>
    <w:p>
      <w:pPr>
        <w:pStyle w:val="BodyText"/>
        <w:rPr>
          <w:sz w:val="20"/>
        </w:rPr>
      </w:pPr>
      <w:r>
        <w:rPr/>
        <w:pict>
          <v:group style="position:absolute;margin-left:51.023602pt;margin-top:28.346996pt;width:515.9500pt;height:660pt;mso-position-horizontal-relative:page;mso-position-vertical-relative:page;z-index:-114448" coordorigin="1020,567" coordsize="10319,13200">
            <v:rect style="position:absolute;left:1020;top:566;width:10319;height:13200" filled="true" fillcolor="#e6e8e9" stroked="false">
              <v:fill type="solid"/>
            </v:rect>
            <v:line style="position:absolute" from="1020,2969" to="3430,2969" stroked="true" strokeweight=".25pt" strokecolor="#231f20">
              <v:stroke dashstyle="solid"/>
            </v:line>
            <v:line style="position:absolute" from="3657,2969" to="6066,2969" stroked="true" strokeweight=".25pt" strokecolor="#231f20">
              <v:stroke dashstyle="solid"/>
            </v:line>
            <v:line style="position:absolute" from="6293,2969" to="8702,2969" stroked="true" strokeweight=".25pt" strokecolor="#231f20">
              <v:stroke dashstyle="solid"/>
            </v:line>
            <v:line style="position:absolute" from="8929,2969" to="11339,2969" stroked="true" strokeweight=".25pt" strokecolor="#231f20">
              <v:stroke dashstyle="solid"/>
            </v:line>
            <w10:wrap type="none"/>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7"/>
        </w:rPr>
      </w:pPr>
    </w:p>
    <w:p>
      <w:pPr>
        <w:pStyle w:val="Heading1"/>
        <w:spacing w:line="213" w:lineRule="auto"/>
      </w:pPr>
      <w:bookmarkStart w:name="Articles of Association of Nestlé S.A." w:id="35"/>
      <w:bookmarkEnd w:id="35"/>
      <w:r>
        <w:rPr/>
      </w:r>
      <w:r>
        <w:rPr>
          <w:color w:val="8F999F"/>
          <w:spacing w:val="-34"/>
        </w:rPr>
        <w:t>Articles </w:t>
      </w:r>
      <w:r>
        <w:rPr>
          <w:color w:val="8F999F"/>
          <w:spacing w:val="-53"/>
        </w:rPr>
        <w:t>of </w:t>
      </w:r>
      <w:r>
        <w:rPr>
          <w:color w:val="8F999F"/>
          <w:spacing w:val="-49"/>
        </w:rPr>
        <w:t>Association </w:t>
      </w:r>
      <w:r>
        <w:rPr>
          <w:color w:val="8F999F"/>
          <w:spacing w:val="-53"/>
        </w:rPr>
        <w:t>of </w:t>
      </w:r>
      <w:r>
        <w:rPr>
          <w:color w:val="8F999F"/>
          <w:spacing w:val="-45"/>
        </w:rPr>
        <w:t>Nestlé</w:t>
      </w:r>
      <w:r>
        <w:rPr>
          <w:color w:val="8F999F"/>
          <w:spacing w:val="-117"/>
        </w:rPr>
        <w:t> </w:t>
      </w:r>
      <w:r>
        <w:rPr>
          <w:color w:val="8F999F"/>
          <w:spacing w:val="-53"/>
        </w:rPr>
        <w:t>S.A.</w:t>
      </w:r>
    </w:p>
    <w:p>
      <w:pPr>
        <w:spacing w:before="107"/>
        <w:ind w:left="900" w:right="0" w:firstLine="0"/>
        <w:jc w:val="left"/>
        <w:rPr>
          <w:b/>
          <w:sz w:val="15"/>
        </w:rPr>
      </w:pPr>
      <w:r>
        <w:rPr>
          <w:b/>
          <w:color w:val="586670"/>
          <w:w w:val="105"/>
          <w:sz w:val="15"/>
        </w:rPr>
        <w:t>Amended by the Annual General Meeting of 19 April 2012</w:t>
      </w:r>
    </w:p>
    <w:p>
      <w:pPr>
        <w:spacing w:after="0"/>
        <w:jc w:val="left"/>
        <w:rPr>
          <w:sz w:val="15"/>
        </w:rPr>
        <w:sectPr>
          <w:headerReference w:type="default" r:id="rId91"/>
          <w:footerReference w:type="default" r:id="rId92"/>
          <w:footerReference w:type="even" r:id="rId93"/>
          <w:pgSz w:w="11910" w:h="14750"/>
          <w:pgMar w:header="0" w:footer="509" w:top="560" w:bottom="700" w:left="460" w:right="460"/>
          <w:pgNumType w:start="47"/>
        </w:sectPr>
      </w:pPr>
    </w:p>
    <w:p>
      <w:pPr>
        <w:pStyle w:val="Heading2"/>
        <w:ind w:left="106"/>
      </w:pPr>
      <w:bookmarkStart w:name="I. General" w:id="36"/>
      <w:bookmarkEnd w:id="36"/>
      <w:r>
        <w:rPr/>
      </w:r>
      <w:bookmarkStart w:name="II. Share Capital" w:id="37"/>
      <w:bookmarkEnd w:id="37"/>
      <w:r>
        <w:rPr/>
      </w:r>
      <w:r>
        <w:rPr>
          <w:color w:val="0083CA"/>
        </w:rPr>
        <w:t>Articles of Association of Nestlé S.A.</w:t>
      </w:r>
    </w:p>
    <w:p>
      <w:pPr>
        <w:pStyle w:val="BodyText"/>
        <w:spacing w:before="4"/>
        <w:rPr>
          <w:sz w:val="24"/>
        </w:rPr>
      </w:pPr>
    </w:p>
    <w:p>
      <w:pPr>
        <w:spacing w:before="1"/>
        <w:ind w:left="106" w:right="0" w:firstLine="0"/>
        <w:jc w:val="left"/>
        <w:rPr>
          <w:b/>
          <w:sz w:val="15"/>
        </w:rPr>
      </w:pPr>
      <w:r>
        <w:rPr>
          <w:b/>
          <w:color w:val="586670"/>
          <w:w w:val="105"/>
          <w:sz w:val="15"/>
        </w:rPr>
        <w:t>Translation*</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17"/>
        </w:rPr>
      </w:pPr>
      <w:r>
        <w:rPr/>
        <w:pict>
          <v:line style="position:absolute;mso-position-horizontal-relative:page;mso-position-vertical-relative:paragraph;z-index:1928;mso-wrap-distance-left:0;mso-wrap-distance-right:0" from="28.346399pt,12.012438pt" to="148.818399pt,12.012438pt" stroked="true" strokeweight=".25pt" strokecolor="#231f20">
            <v:stroke dashstyle="solid"/>
            <w10:wrap type="topAndBottom"/>
          </v:line>
        </w:pict>
      </w:r>
      <w:r>
        <w:rPr/>
        <w:pict>
          <v:line style="position:absolute;mso-position-horizontal-relative:page;mso-position-vertical-relative:paragraph;z-index:1952;mso-wrap-distance-left:0;mso-wrap-distance-right:0" from="160.158005pt,12.012438pt" to="280.630005pt,12.012438pt" stroked="true" strokeweight=".25pt" strokecolor="#231f20">
            <v:stroke dashstyle="solid"/>
            <w10:wrap type="topAndBottom"/>
          </v:line>
        </w:pict>
      </w:r>
      <w:r>
        <w:rPr/>
        <w:pict>
          <v:line style="position:absolute;mso-position-horizontal-relative:page;mso-position-vertical-relative:paragraph;z-index:1976;mso-wrap-distance-left:0;mso-wrap-distance-right:0" from="291.967987pt,12.012438pt" to="412.439987pt,12.012438pt" stroked="true" strokeweight=".25pt" strokecolor="#231f20">
            <v:stroke dashstyle="solid"/>
            <w10:wrap type="topAndBottom"/>
          </v:line>
        </w:pict>
      </w:r>
      <w:r>
        <w:rPr/>
        <w:pict>
          <v:line style="position:absolute;mso-position-horizontal-relative:page;mso-position-vertical-relative:paragraph;z-index:2000;mso-wrap-distance-left:0;mso-wrap-distance-right:0" from="423.779999pt,12.012438pt" to="544.251999pt,12.012438pt" stroked="true" strokeweight=".25pt" strokecolor="#231f20">
            <v:stroke dashstyle="solid"/>
            <w10:wrap type="topAndBottom"/>
          </v:line>
        </w:pict>
      </w:r>
    </w:p>
    <w:p>
      <w:pPr>
        <w:pStyle w:val="BodyText"/>
        <w:spacing w:before="5"/>
        <w:rPr>
          <w:b/>
          <w:sz w:val="14"/>
        </w:rPr>
      </w:pPr>
    </w:p>
    <w:p>
      <w:pPr>
        <w:spacing w:after="0"/>
        <w:rPr>
          <w:sz w:val="14"/>
        </w:rPr>
        <w:sectPr>
          <w:headerReference w:type="even" r:id="rId94"/>
          <w:pgSz w:w="11910" w:h="14750"/>
          <w:pgMar w:header="0" w:footer="509" w:top="980" w:bottom="700" w:left="460" w:right="460"/>
        </w:sectPr>
      </w:pPr>
    </w:p>
    <w:p>
      <w:pPr>
        <w:pStyle w:val="Heading3"/>
        <w:numPr>
          <w:ilvl w:val="0"/>
          <w:numId w:val="25"/>
        </w:numPr>
        <w:tabs>
          <w:tab w:pos="560" w:val="left" w:leader="none"/>
          <w:tab w:pos="561" w:val="left" w:leader="none"/>
        </w:tabs>
        <w:spacing w:line="240" w:lineRule="auto" w:before="109" w:after="0"/>
        <w:ind w:left="106" w:right="0" w:firstLine="0"/>
        <w:jc w:val="left"/>
      </w:pPr>
      <w:r>
        <w:rPr>
          <w:color w:val="231F20"/>
          <w:w w:val="105"/>
        </w:rPr>
        <w:t>General</w:t>
      </w:r>
    </w:p>
    <w:p>
      <w:pPr>
        <w:pStyle w:val="BodyText"/>
        <w:spacing w:before="31"/>
        <w:ind w:left="106"/>
      </w:pPr>
      <w:r>
        <w:rPr>
          <w:color w:val="231F20"/>
          <w:w w:val="105"/>
        </w:rPr>
        <w:t>Article 1</w:t>
      </w:r>
    </w:p>
    <w:p>
      <w:pPr>
        <w:pStyle w:val="Heading3"/>
        <w:spacing w:before="31"/>
        <w:ind w:left="106"/>
      </w:pPr>
      <w:r>
        <w:rPr>
          <w:color w:val="586670"/>
          <w:w w:val="110"/>
        </w:rPr>
        <w:t>Corporate name; Registered offices; Duration</w:t>
      </w:r>
    </w:p>
    <w:p>
      <w:pPr>
        <w:pStyle w:val="ListParagraph"/>
        <w:numPr>
          <w:ilvl w:val="0"/>
          <w:numId w:val="26"/>
        </w:numPr>
        <w:tabs>
          <w:tab w:pos="334" w:val="left" w:leader="none"/>
        </w:tabs>
        <w:spacing w:line="276" w:lineRule="auto" w:before="31" w:after="0"/>
        <w:ind w:left="333" w:right="38" w:hanging="227"/>
        <w:jc w:val="left"/>
        <w:rPr>
          <w:sz w:val="18"/>
        </w:rPr>
      </w:pPr>
      <w:r>
        <w:rPr>
          <w:color w:val="231F20"/>
          <w:sz w:val="18"/>
        </w:rPr>
        <w:t>Nestlé S.A. (Nestlé </w:t>
      </w:r>
      <w:r>
        <w:rPr>
          <w:color w:val="231F20"/>
          <w:spacing w:val="-3"/>
          <w:sz w:val="18"/>
        </w:rPr>
        <w:t>AG) </w:t>
      </w:r>
      <w:r>
        <w:rPr>
          <w:color w:val="231F20"/>
          <w:sz w:val="18"/>
        </w:rPr>
        <w:t>(Nestlé Ltd.) (hereinafter “Nestlé”) is a company limited by shares  incorporated  and organised in accordance with the Swiss Code of Obligations.</w:t>
      </w:r>
    </w:p>
    <w:p>
      <w:pPr>
        <w:pStyle w:val="ListParagraph"/>
        <w:numPr>
          <w:ilvl w:val="0"/>
          <w:numId w:val="26"/>
        </w:numPr>
        <w:tabs>
          <w:tab w:pos="334" w:val="left" w:leader="none"/>
        </w:tabs>
        <w:spacing w:line="276" w:lineRule="auto" w:before="0" w:after="0"/>
        <w:ind w:left="333" w:right="234" w:hanging="227"/>
        <w:jc w:val="left"/>
        <w:rPr>
          <w:sz w:val="18"/>
        </w:rPr>
      </w:pPr>
      <w:r>
        <w:rPr>
          <w:color w:val="231F20"/>
          <w:sz w:val="18"/>
        </w:rPr>
        <w:t>The registered offices of Nestlé are in Cham and </w:t>
      </w:r>
      <w:r>
        <w:rPr>
          <w:color w:val="231F20"/>
          <w:spacing w:val="-4"/>
          <w:sz w:val="18"/>
        </w:rPr>
        <w:t>Vevey, </w:t>
      </w:r>
      <w:r>
        <w:rPr>
          <w:color w:val="231F20"/>
          <w:sz w:val="18"/>
        </w:rPr>
        <w:t>Switzerland.</w:t>
      </w:r>
    </w:p>
    <w:p>
      <w:pPr>
        <w:pStyle w:val="ListParagraph"/>
        <w:numPr>
          <w:ilvl w:val="0"/>
          <w:numId w:val="26"/>
        </w:numPr>
        <w:tabs>
          <w:tab w:pos="334" w:val="left" w:leader="none"/>
        </w:tabs>
        <w:spacing w:line="208" w:lineRule="exact" w:before="0" w:after="0"/>
        <w:ind w:left="333" w:right="0" w:hanging="227"/>
        <w:jc w:val="left"/>
        <w:rPr>
          <w:sz w:val="18"/>
        </w:rPr>
      </w:pPr>
      <w:r>
        <w:rPr>
          <w:color w:val="231F20"/>
          <w:sz w:val="18"/>
        </w:rPr>
        <w:t>The duration of Nestlé is</w:t>
      </w:r>
      <w:r>
        <w:rPr>
          <w:color w:val="231F20"/>
          <w:spacing w:val="-12"/>
          <w:sz w:val="18"/>
        </w:rPr>
        <w:t> </w:t>
      </w:r>
      <w:r>
        <w:rPr>
          <w:color w:val="231F20"/>
          <w:sz w:val="18"/>
        </w:rPr>
        <w:t>unlimited.</w:t>
      </w:r>
    </w:p>
    <w:p>
      <w:pPr>
        <w:pStyle w:val="BodyText"/>
        <w:spacing w:before="2"/>
        <w:rPr>
          <w:sz w:val="23"/>
        </w:rPr>
      </w:pPr>
    </w:p>
    <w:p>
      <w:pPr>
        <w:pStyle w:val="BodyText"/>
        <w:ind w:left="106"/>
      </w:pPr>
      <w:r>
        <w:rPr>
          <w:color w:val="231F20"/>
          <w:w w:val="105"/>
        </w:rPr>
        <w:t>Article 2</w:t>
      </w:r>
    </w:p>
    <w:p>
      <w:pPr>
        <w:pStyle w:val="Heading3"/>
        <w:spacing w:before="31"/>
        <w:ind w:left="106"/>
      </w:pPr>
      <w:r>
        <w:rPr>
          <w:color w:val="586670"/>
          <w:w w:val="110"/>
        </w:rPr>
        <w:t>Purpose</w:t>
      </w:r>
    </w:p>
    <w:p>
      <w:pPr>
        <w:pStyle w:val="ListParagraph"/>
        <w:numPr>
          <w:ilvl w:val="0"/>
          <w:numId w:val="27"/>
        </w:numPr>
        <w:tabs>
          <w:tab w:pos="334" w:val="left" w:leader="none"/>
        </w:tabs>
        <w:spacing w:line="276" w:lineRule="auto" w:before="31" w:after="0"/>
        <w:ind w:left="333" w:right="601" w:hanging="227"/>
        <w:jc w:val="left"/>
        <w:rPr>
          <w:sz w:val="18"/>
        </w:rPr>
      </w:pPr>
      <w:r>
        <w:rPr>
          <w:color w:val="231F20"/>
          <w:sz w:val="18"/>
        </w:rPr>
        <w:t>The purpose of Nestlé is to participate in industrial, service, commercial and financial enterprises in Switzerland and abroad, in particular in the food, nutrition, health, wellness and related</w:t>
      </w:r>
      <w:r>
        <w:rPr>
          <w:color w:val="231F20"/>
          <w:spacing w:val="-10"/>
          <w:sz w:val="18"/>
        </w:rPr>
        <w:t> </w:t>
      </w:r>
      <w:r>
        <w:rPr>
          <w:color w:val="231F20"/>
          <w:sz w:val="18"/>
        </w:rPr>
        <w:t>industries.</w:t>
      </w:r>
    </w:p>
    <w:p>
      <w:pPr>
        <w:pStyle w:val="ListParagraph"/>
        <w:numPr>
          <w:ilvl w:val="0"/>
          <w:numId w:val="27"/>
        </w:numPr>
        <w:tabs>
          <w:tab w:pos="334" w:val="left" w:leader="none"/>
        </w:tabs>
        <w:spacing w:line="276" w:lineRule="auto" w:before="0" w:after="0"/>
        <w:ind w:left="333" w:right="469" w:hanging="227"/>
        <w:jc w:val="left"/>
        <w:rPr>
          <w:sz w:val="18"/>
        </w:rPr>
      </w:pPr>
      <w:r>
        <w:rPr>
          <w:color w:val="231F20"/>
          <w:sz w:val="18"/>
        </w:rPr>
        <w:t>Nestlé may itself establish such undertakings or participate in, finance and promote the development of undertakings already in</w:t>
      </w:r>
      <w:r>
        <w:rPr>
          <w:color w:val="231F20"/>
          <w:spacing w:val="-4"/>
          <w:sz w:val="18"/>
        </w:rPr>
        <w:t> </w:t>
      </w:r>
      <w:r>
        <w:rPr>
          <w:color w:val="231F20"/>
          <w:sz w:val="18"/>
        </w:rPr>
        <w:t>existence.</w:t>
      </w:r>
    </w:p>
    <w:p>
      <w:pPr>
        <w:pStyle w:val="ListParagraph"/>
        <w:numPr>
          <w:ilvl w:val="0"/>
          <w:numId w:val="27"/>
        </w:numPr>
        <w:tabs>
          <w:tab w:pos="334" w:val="left" w:leader="none"/>
        </w:tabs>
        <w:spacing w:line="276" w:lineRule="auto" w:before="0" w:after="0"/>
        <w:ind w:left="333" w:right="77" w:hanging="227"/>
        <w:jc w:val="both"/>
        <w:rPr>
          <w:sz w:val="18"/>
        </w:rPr>
      </w:pPr>
      <w:r>
        <w:rPr>
          <w:color w:val="231F20"/>
          <w:sz w:val="18"/>
        </w:rPr>
        <w:t>Nestlé may enter into any transaction which the business purpose may entail. Nestlé shall, in pursuing its business purpose, aim for long-term, sustainable value</w:t>
      </w:r>
      <w:r>
        <w:rPr>
          <w:color w:val="231F20"/>
          <w:spacing w:val="20"/>
          <w:sz w:val="18"/>
        </w:rPr>
        <w:t> </w:t>
      </w:r>
      <w:r>
        <w:rPr>
          <w:color w:val="231F20"/>
          <w:sz w:val="18"/>
        </w:rPr>
        <w:t>creation.</w:t>
      </w:r>
    </w:p>
    <w:p>
      <w:pPr>
        <w:pStyle w:val="BodyText"/>
        <w:spacing w:before="4"/>
        <w:rPr>
          <w:sz w:val="20"/>
        </w:rPr>
      </w:pPr>
    </w:p>
    <w:p>
      <w:pPr>
        <w:pStyle w:val="Heading3"/>
        <w:numPr>
          <w:ilvl w:val="0"/>
          <w:numId w:val="25"/>
        </w:numPr>
        <w:tabs>
          <w:tab w:pos="338" w:val="left" w:leader="none"/>
        </w:tabs>
        <w:spacing w:line="240" w:lineRule="auto" w:before="0" w:after="0"/>
        <w:ind w:left="337" w:right="0" w:hanging="231"/>
        <w:jc w:val="left"/>
      </w:pPr>
      <w:r>
        <w:rPr>
          <w:color w:val="231F20"/>
          <w:w w:val="110"/>
        </w:rPr>
        <w:t>Share</w:t>
      </w:r>
      <w:r>
        <w:rPr>
          <w:color w:val="231F20"/>
          <w:spacing w:val="-8"/>
          <w:w w:val="110"/>
        </w:rPr>
        <w:t> </w:t>
      </w:r>
      <w:r>
        <w:rPr>
          <w:color w:val="231F20"/>
          <w:w w:val="110"/>
        </w:rPr>
        <w:t>Capital</w:t>
      </w:r>
    </w:p>
    <w:p>
      <w:pPr>
        <w:pStyle w:val="BodyText"/>
        <w:spacing w:before="31"/>
        <w:ind w:left="106"/>
      </w:pPr>
      <w:r>
        <w:rPr>
          <w:color w:val="231F20"/>
          <w:w w:val="105"/>
        </w:rPr>
        <w:t>Article 3</w:t>
      </w:r>
    </w:p>
    <w:p>
      <w:pPr>
        <w:pStyle w:val="Heading3"/>
        <w:spacing w:before="31"/>
        <w:ind w:left="106"/>
      </w:pPr>
      <w:r>
        <w:rPr>
          <w:color w:val="586670"/>
          <w:w w:val="110"/>
        </w:rPr>
        <w:t>Share capital</w:t>
      </w:r>
    </w:p>
    <w:p>
      <w:pPr>
        <w:pStyle w:val="BodyText"/>
        <w:spacing w:line="276" w:lineRule="auto" w:before="31"/>
        <w:ind w:left="106" w:right="308"/>
      </w:pPr>
      <w:r>
        <w:rPr>
          <w:color w:val="231F20"/>
        </w:rPr>
        <w:t>The share capital of Nestlé is CHF 322 </w:t>
      </w:r>
      <w:r>
        <w:rPr>
          <w:color w:val="231F20"/>
          <w:spacing w:val="3"/>
        </w:rPr>
        <w:t>480 </w:t>
      </w:r>
      <w:r>
        <w:rPr>
          <w:color w:val="231F20"/>
          <w:spacing w:val="2"/>
        </w:rPr>
        <w:t>000 </w:t>
      </w:r>
      <w:r>
        <w:rPr>
          <w:color w:val="231F20"/>
        </w:rPr>
        <w:t>(three hundred and twenty-two million four hundred and eighty thousand Swiss francs) divided into 3 224 </w:t>
      </w:r>
      <w:r>
        <w:rPr>
          <w:color w:val="231F20"/>
          <w:spacing w:val="2"/>
        </w:rPr>
        <w:t>800 000 </w:t>
      </w:r>
      <w:r>
        <w:rPr>
          <w:color w:val="231F20"/>
        </w:rPr>
        <w:t>fully   paid up registered shares with a nominal value of CHF </w:t>
      </w:r>
      <w:r>
        <w:rPr>
          <w:color w:val="231F20"/>
          <w:spacing w:val="-8"/>
        </w:rPr>
        <w:t>0.10 </w:t>
      </w:r>
      <w:r>
        <w:rPr>
          <w:color w:val="231F20"/>
        </w:rPr>
        <w:t>each.</w:t>
      </w:r>
    </w:p>
    <w:p>
      <w:pPr>
        <w:pStyle w:val="BodyText"/>
        <w:spacing w:before="3"/>
        <w:rPr>
          <w:sz w:val="20"/>
        </w:rPr>
      </w:pPr>
    </w:p>
    <w:p>
      <w:pPr>
        <w:spacing w:before="0"/>
        <w:ind w:left="106" w:right="0" w:firstLine="0"/>
        <w:jc w:val="left"/>
        <w:rPr>
          <w:sz w:val="13"/>
        </w:rPr>
      </w:pPr>
      <w:r>
        <w:rPr>
          <w:color w:val="231F20"/>
          <w:sz w:val="18"/>
        </w:rPr>
        <w:t>Article 3</w:t>
      </w:r>
      <w:r>
        <w:rPr>
          <w:color w:val="231F20"/>
          <w:position w:val="5"/>
          <w:sz w:val="13"/>
        </w:rPr>
        <w:t>bis</w:t>
      </w:r>
    </w:p>
    <w:p>
      <w:pPr>
        <w:pStyle w:val="Heading3"/>
        <w:spacing w:before="31"/>
        <w:ind w:left="106"/>
      </w:pPr>
      <w:r>
        <w:rPr>
          <w:color w:val="586670"/>
          <w:w w:val="110"/>
        </w:rPr>
        <w:t>Conditional share capital</w:t>
      </w:r>
    </w:p>
    <w:p>
      <w:pPr>
        <w:pStyle w:val="ListParagraph"/>
        <w:numPr>
          <w:ilvl w:val="0"/>
          <w:numId w:val="28"/>
        </w:numPr>
        <w:tabs>
          <w:tab w:pos="334" w:val="left" w:leader="none"/>
        </w:tabs>
        <w:spacing w:line="276" w:lineRule="auto" w:before="31" w:after="0"/>
        <w:ind w:left="333" w:right="108" w:hanging="227"/>
        <w:jc w:val="left"/>
        <w:rPr>
          <w:sz w:val="18"/>
        </w:rPr>
      </w:pPr>
      <w:r>
        <w:rPr>
          <w:color w:val="231F20"/>
          <w:w w:val="105"/>
          <w:sz w:val="18"/>
        </w:rPr>
        <w:t>The share capital of Nestlé may be increased in an amount</w:t>
      </w:r>
      <w:r>
        <w:rPr>
          <w:color w:val="231F20"/>
          <w:spacing w:val="-5"/>
          <w:w w:val="105"/>
          <w:sz w:val="18"/>
        </w:rPr>
        <w:t> </w:t>
      </w:r>
      <w:r>
        <w:rPr>
          <w:color w:val="231F20"/>
          <w:w w:val="105"/>
          <w:sz w:val="18"/>
        </w:rPr>
        <w:t>not</w:t>
      </w:r>
      <w:r>
        <w:rPr>
          <w:color w:val="231F20"/>
          <w:spacing w:val="-4"/>
          <w:w w:val="105"/>
          <w:sz w:val="18"/>
        </w:rPr>
        <w:t> </w:t>
      </w:r>
      <w:r>
        <w:rPr>
          <w:color w:val="231F20"/>
          <w:w w:val="105"/>
          <w:sz w:val="18"/>
        </w:rPr>
        <w:t>to</w:t>
      </w:r>
      <w:r>
        <w:rPr>
          <w:color w:val="231F20"/>
          <w:spacing w:val="-5"/>
          <w:w w:val="105"/>
          <w:sz w:val="18"/>
        </w:rPr>
        <w:t> </w:t>
      </w:r>
      <w:r>
        <w:rPr>
          <w:color w:val="231F20"/>
          <w:w w:val="105"/>
          <w:sz w:val="18"/>
        </w:rPr>
        <w:t>exceed</w:t>
      </w:r>
      <w:r>
        <w:rPr>
          <w:color w:val="231F20"/>
          <w:spacing w:val="-4"/>
          <w:w w:val="105"/>
          <w:sz w:val="18"/>
        </w:rPr>
        <w:t> </w:t>
      </w:r>
      <w:r>
        <w:rPr>
          <w:color w:val="231F20"/>
          <w:w w:val="105"/>
          <w:sz w:val="18"/>
        </w:rPr>
        <w:t>CHF</w:t>
      </w:r>
      <w:r>
        <w:rPr>
          <w:color w:val="231F20"/>
          <w:spacing w:val="-5"/>
          <w:w w:val="105"/>
          <w:sz w:val="18"/>
        </w:rPr>
        <w:t> 10</w:t>
      </w:r>
      <w:r>
        <w:rPr>
          <w:color w:val="231F20"/>
          <w:spacing w:val="-4"/>
          <w:w w:val="105"/>
          <w:sz w:val="18"/>
        </w:rPr>
        <w:t> </w:t>
      </w:r>
      <w:r>
        <w:rPr>
          <w:color w:val="231F20"/>
          <w:spacing w:val="2"/>
          <w:w w:val="105"/>
          <w:sz w:val="18"/>
        </w:rPr>
        <w:t>000</w:t>
      </w:r>
      <w:r>
        <w:rPr>
          <w:color w:val="231F20"/>
          <w:spacing w:val="-5"/>
          <w:w w:val="105"/>
          <w:sz w:val="18"/>
        </w:rPr>
        <w:t> </w:t>
      </w:r>
      <w:r>
        <w:rPr>
          <w:color w:val="231F20"/>
          <w:spacing w:val="2"/>
          <w:w w:val="105"/>
          <w:sz w:val="18"/>
        </w:rPr>
        <w:t>000</w:t>
      </w:r>
      <w:r>
        <w:rPr>
          <w:color w:val="231F20"/>
          <w:spacing w:val="-4"/>
          <w:w w:val="105"/>
          <w:sz w:val="18"/>
        </w:rPr>
        <w:t> </w:t>
      </w:r>
      <w:r>
        <w:rPr>
          <w:color w:val="231F20"/>
          <w:w w:val="105"/>
          <w:sz w:val="18"/>
        </w:rPr>
        <w:t>(ten</w:t>
      </w:r>
      <w:r>
        <w:rPr>
          <w:color w:val="231F20"/>
          <w:spacing w:val="-5"/>
          <w:w w:val="105"/>
          <w:sz w:val="18"/>
        </w:rPr>
        <w:t> </w:t>
      </w:r>
      <w:r>
        <w:rPr>
          <w:color w:val="231F20"/>
          <w:w w:val="105"/>
          <w:sz w:val="18"/>
        </w:rPr>
        <w:t>million</w:t>
      </w:r>
      <w:r>
        <w:rPr>
          <w:color w:val="231F20"/>
          <w:spacing w:val="-4"/>
          <w:w w:val="105"/>
          <w:sz w:val="18"/>
        </w:rPr>
        <w:t> </w:t>
      </w:r>
      <w:r>
        <w:rPr>
          <w:color w:val="231F20"/>
          <w:w w:val="105"/>
          <w:sz w:val="18"/>
        </w:rPr>
        <w:t>Swiss francs) by issuing up to 100 </w:t>
      </w:r>
      <w:r>
        <w:rPr>
          <w:color w:val="231F20"/>
          <w:spacing w:val="2"/>
          <w:w w:val="105"/>
          <w:sz w:val="18"/>
        </w:rPr>
        <w:t>000 000 </w:t>
      </w:r>
      <w:r>
        <w:rPr>
          <w:color w:val="231F20"/>
          <w:w w:val="105"/>
          <w:sz w:val="18"/>
        </w:rPr>
        <w:t>registered shares with</w:t>
      </w:r>
      <w:r>
        <w:rPr>
          <w:color w:val="231F20"/>
          <w:spacing w:val="-9"/>
          <w:w w:val="105"/>
          <w:sz w:val="18"/>
        </w:rPr>
        <w:t> </w:t>
      </w:r>
      <w:r>
        <w:rPr>
          <w:color w:val="231F20"/>
          <w:w w:val="105"/>
          <w:sz w:val="18"/>
        </w:rPr>
        <w:t>a</w:t>
      </w:r>
      <w:r>
        <w:rPr>
          <w:color w:val="231F20"/>
          <w:spacing w:val="-8"/>
          <w:w w:val="105"/>
          <w:sz w:val="18"/>
        </w:rPr>
        <w:t> </w:t>
      </w:r>
      <w:r>
        <w:rPr>
          <w:color w:val="231F20"/>
          <w:w w:val="105"/>
          <w:sz w:val="18"/>
        </w:rPr>
        <w:t>nominal</w:t>
      </w:r>
      <w:r>
        <w:rPr>
          <w:color w:val="231F20"/>
          <w:spacing w:val="-9"/>
          <w:w w:val="105"/>
          <w:sz w:val="18"/>
        </w:rPr>
        <w:t> </w:t>
      </w:r>
      <w:r>
        <w:rPr>
          <w:color w:val="231F20"/>
          <w:w w:val="105"/>
          <w:sz w:val="18"/>
        </w:rPr>
        <w:t>value</w:t>
      </w:r>
      <w:r>
        <w:rPr>
          <w:color w:val="231F20"/>
          <w:spacing w:val="-8"/>
          <w:w w:val="105"/>
          <w:sz w:val="18"/>
        </w:rPr>
        <w:t> </w:t>
      </w:r>
      <w:r>
        <w:rPr>
          <w:color w:val="231F20"/>
          <w:w w:val="105"/>
          <w:sz w:val="18"/>
        </w:rPr>
        <w:t>of</w:t>
      </w:r>
      <w:r>
        <w:rPr>
          <w:color w:val="231F20"/>
          <w:spacing w:val="-8"/>
          <w:w w:val="105"/>
          <w:sz w:val="18"/>
        </w:rPr>
        <w:t> </w:t>
      </w:r>
      <w:r>
        <w:rPr>
          <w:color w:val="231F20"/>
          <w:w w:val="105"/>
          <w:sz w:val="18"/>
        </w:rPr>
        <w:t>CHF</w:t>
      </w:r>
      <w:r>
        <w:rPr>
          <w:color w:val="231F20"/>
          <w:spacing w:val="-9"/>
          <w:w w:val="105"/>
          <w:sz w:val="18"/>
        </w:rPr>
        <w:t> </w:t>
      </w:r>
      <w:r>
        <w:rPr>
          <w:color w:val="231F20"/>
          <w:spacing w:val="-8"/>
          <w:w w:val="105"/>
          <w:sz w:val="18"/>
        </w:rPr>
        <w:t>0.10 </w:t>
      </w:r>
      <w:r>
        <w:rPr>
          <w:color w:val="231F20"/>
          <w:w w:val="105"/>
          <w:sz w:val="18"/>
        </w:rPr>
        <w:t>each,</w:t>
      </w:r>
      <w:r>
        <w:rPr>
          <w:color w:val="231F20"/>
          <w:spacing w:val="-9"/>
          <w:w w:val="105"/>
          <w:sz w:val="18"/>
        </w:rPr>
        <w:t> </w:t>
      </w:r>
      <w:r>
        <w:rPr>
          <w:color w:val="231F20"/>
          <w:w w:val="105"/>
          <w:sz w:val="18"/>
        </w:rPr>
        <w:t>which</w:t>
      </w:r>
      <w:r>
        <w:rPr>
          <w:color w:val="231F20"/>
          <w:spacing w:val="-8"/>
          <w:w w:val="105"/>
          <w:sz w:val="18"/>
        </w:rPr>
        <w:t> </w:t>
      </w:r>
      <w:r>
        <w:rPr>
          <w:color w:val="231F20"/>
          <w:w w:val="105"/>
          <w:sz w:val="18"/>
        </w:rPr>
        <w:t>shall</w:t>
      </w:r>
      <w:r>
        <w:rPr>
          <w:color w:val="231F20"/>
          <w:spacing w:val="-8"/>
          <w:w w:val="105"/>
          <w:sz w:val="18"/>
        </w:rPr>
        <w:t> </w:t>
      </w:r>
      <w:r>
        <w:rPr>
          <w:color w:val="231F20"/>
          <w:w w:val="105"/>
          <w:sz w:val="18"/>
        </w:rPr>
        <w:t>be</w:t>
      </w:r>
    </w:p>
    <w:p>
      <w:pPr>
        <w:pStyle w:val="BodyText"/>
        <w:spacing w:before="7"/>
        <w:rPr>
          <w:sz w:val="20"/>
        </w:rPr>
      </w:pPr>
    </w:p>
    <w:p>
      <w:pPr>
        <w:spacing w:line="278" w:lineRule="auto" w:before="0"/>
        <w:ind w:left="106" w:right="234" w:firstLine="0"/>
        <w:jc w:val="left"/>
        <w:rPr>
          <w:rFonts w:ascii="Arial"/>
          <w:i/>
          <w:sz w:val="18"/>
        </w:rPr>
      </w:pPr>
      <w:r>
        <w:rPr>
          <w:rFonts w:ascii="Arial"/>
          <w:i/>
          <w:color w:val="231F20"/>
          <w:w w:val="105"/>
          <w:sz w:val="18"/>
        </w:rPr>
        <w:t>* This is an unofficial translation. In case of doubt or </w:t>
      </w:r>
      <w:r>
        <w:rPr>
          <w:rFonts w:ascii="Arial"/>
          <w:i/>
          <w:color w:val="231F20"/>
          <w:w w:val="105"/>
          <w:sz w:val="18"/>
        </w:rPr>
        <w:t>differences</w:t>
      </w:r>
      <w:r>
        <w:rPr>
          <w:rFonts w:ascii="Arial"/>
          <w:i/>
          <w:color w:val="231F20"/>
          <w:spacing w:val="-23"/>
          <w:w w:val="105"/>
          <w:sz w:val="18"/>
        </w:rPr>
        <w:t> </w:t>
      </w:r>
      <w:r>
        <w:rPr>
          <w:rFonts w:ascii="Arial"/>
          <w:i/>
          <w:color w:val="231F20"/>
          <w:w w:val="105"/>
          <w:sz w:val="18"/>
        </w:rPr>
        <w:t>of</w:t>
      </w:r>
      <w:r>
        <w:rPr>
          <w:rFonts w:ascii="Arial"/>
          <w:i/>
          <w:color w:val="231F20"/>
          <w:spacing w:val="-23"/>
          <w:w w:val="105"/>
          <w:sz w:val="18"/>
        </w:rPr>
        <w:t> </w:t>
      </w:r>
      <w:r>
        <w:rPr>
          <w:rFonts w:ascii="Arial"/>
          <w:i/>
          <w:color w:val="231F20"/>
          <w:w w:val="105"/>
          <w:sz w:val="18"/>
        </w:rPr>
        <w:t>interpretation,</w:t>
      </w:r>
      <w:r>
        <w:rPr>
          <w:rFonts w:ascii="Arial"/>
          <w:i/>
          <w:color w:val="231F20"/>
          <w:spacing w:val="-22"/>
          <w:w w:val="105"/>
          <w:sz w:val="18"/>
        </w:rPr>
        <w:t> </w:t>
      </w:r>
      <w:r>
        <w:rPr>
          <w:rFonts w:ascii="Arial"/>
          <w:i/>
          <w:color w:val="231F20"/>
          <w:w w:val="105"/>
          <w:sz w:val="18"/>
        </w:rPr>
        <w:t>the</w:t>
      </w:r>
      <w:r>
        <w:rPr>
          <w:rFonts w:ascii="Arial"/>
          <w:i/>
          <w:color w:val="231F20"/>
          <w:spacing w:val="-23"/>
          <w:w w:val="105"/>
          <w:sz w:val="18"/>
        </w:rPr>
        <w:t> </w:t>
      </w:r>
      <w:r>
        <w:rPr>
          <w:rFonts w:ascii="Arial"/>
          <w:i/>
          <w:color w:val="231F20"/>
          <w:w w:val="105"/>
          <w:sz w:val="18"/>
        </w:rPr>
        <w:t>official</w:t>
      </w:r>
      <w:r>
        <w:rPr>
          <w:rFonts w:ascii="Arial"/>
          <w:i/>
          <w:color w:val="231F20"/>
          <w:spacing w:val="-22"/>
          <w:w w:val="105"/>
          <w:sz w:val="18"/>
        </w:rPr>
        <w:t> </w:t>
      </w:r>
      <w:r>
        <w:rPr>
          <w:rFonts w:ascii="Arial"/>
          <w:i/>
          <w:color w:val="231F20"/>
          <w:w w:val="105"/>
          <w:sz w:val="18"/>
        </w:rPr>
        <w:t>French</w:t>
      </w:r>
      <w:r>
        <w:rPr>
          <w:rFonts w:ascii="Arial"/>
          <w:i/>
          <w:color w:val="231F20"/>
          <w:spacing w:val="-23"/>
          <w:w w:val="105"/>
          <w:sz w:val="18"/>
        </w:rPr>
        <w:t> </w:t>
      </w:r>
      <w:r>
        <w:rPr>
          <w:rFonts w:ascii="Arial"/>
          <w:i/>
          <w:color w:val="231F20"/>
          <w:w w:val="105"/>
          <w:sz w:val="18"/>
        </w:rPr>
        <w:t>and</w:t>
      </w:r>
      <w:r>
        <w:rPr>
          <w:rFonts w:ascii="Arial"/>
          <w:i/>
          <w:color w:val="231F20"/>
          <w:spacing w:val="-22"/>
          <w:w w:val="105"/>
          <w:sz w:val="18"/>
        </w:rPr>
        <w:t> </w:t>
      </w:r>
      <w:r>
        <w:rPr>
          <w:rFonts w:ascii="Arial"/>
          <w:i/>
          <w:color w:val="231F20"/>
          <w:w w:val="105"/>
          <w:sz w:val="18"/>
        </w:rPr>
        <w:t>German versions</w:t>
      </w:r>
      <w:r>
        <w:rPr>
          <w:rFonts w:ascii="Arial"/>
          <w:i/>
          <w:color w:val="231F20"/>
          <w:spacing w:val="-13"/>
          <w:w w:val="105"/>
          <w:sz w:val="18"/>
        </w:rPr>
        <w:t> </w:t>
      </w:r>
      <w:r>
        <w:rPr>
          <w:rFonts w:ascii="Arial"/>
          <w:i/>
          <w:color w:val="231F20"/>
          <w:w w:val="105"/>
          <w:sz w:val="18"/>
        </w:rPr>
        <w:t>of</w:t>
      </w:r>
      <w:r>
        <w:rPr>
          <w:rFonts w:ascii="Arial"/>
          <w:i/>
          <w:color w:val="231F20"/>
          <w:spacing w:val="-13"/>
          <w:w w:val="105"/>
          <w:sz w:val="18"/>
        </w:rPr>
        <w:t> </w:t>
      </w:r>
      <w:r>
        <w:rPr>
          <w:rFonts w:ascii="Arial"/>
          <w:i/>
          <w:color w:val="231F20"/>
          <w:w w:val="105"/>
          <w:sz w:val="18"/>
        </w:rPr>
        <w:t>the</w:t>
      </w:r>
      <w:r>
        <w:rPr>
          <w:rFonts w:ascii="Arial"/>
          <w:i/>
          <w:color w:val="231F20"/>
          <w:spacing w:val="-12"/>
          <w:w w:val="105"/>
          <w:sz w:val="18"/>
        </w:rPr>
        <w:t> </w:t>
      </w:r>
      <w:r>
        <w:rPr>
          <w:rFonts w:ascii="Arial"/>
          <w:i/>
          <w:color w:val="231F20"/>
          <w:w w:val="105"/>
          <w:sz w:val="18"/>
        </w:rPr>
        <w:t>Articles</w:t>
      </w:r>
      <w:r>
        <w:rPr>
          <w:rFonts w:ascii="Arial"/>
          <w:i/>
          <w:color w:val="231F20"/>
          <w:spacing w:val="-13"/>
          <w:w w:val="105"/>
          <w:sz w:val="18"/>
        </w:rPr>
        <w:t> </w:t>
      </w:r>
      <w:r>
        <w:rPr>
          <w:rFonts w:ascii="Arial"/>
          <w:i/>
          <w:color w:val="231F20"/>
          <w:w w:val="105"/>
          <w:sz w:val="18"/>
        </w:rPr>
        <w:t>of</w:t>
      </w:r>
      <w:r>
        <w:rPr>
          <w:rFonts w:ascii="Arial"/>
          <w:i/>
          <w:color w:val="231F20"/>
          <w:spacing w:val="-12"/>
          <w:w w:val="105"/>
          <w:sz w:val="18"/>
        </w:rPr>
        <w:t> </w:t>
      </w:r>
      <w:r>
        <w:rPr>
          <w:rFonts w:ascii="Arial"/>
          <w:i/>
          <w:color w:val="231F20"/>
          <w:w w:val="105"/>
          <w:sz w:val="18"/>
        </w:rPr>
        <w:t>Association</w:t>
      </w:r>
      <w:r>
        <w:rPr>
          <w:rFonts w:ascii="Arial"/>
          <w:i/>
          <w:color w:val="231F20"/>
          <w:spacing w:val="-13"/>
          <w:w w:val="105"/>
          <w:sz w:val="18"/>
        </w:rPr>
        <w:t> </w:t>
      </w:r>
      <w:r>
        <w:rPr>
          <w:rFonts w:ascii="Arial"/>
          <w:i/>
          <w:color w:val="231F20"/>
          <w:w w:val="105"/>
          <w:sz w:val="18"/>
        </w:rPr>
        <w:t>shall</w:t>
      </w:r>
      <w:r>
        <w:rPr>
          <w:rFonts w:ascii="Arial"/>
          <w:i/>
          <w:color w:val="231F20"/>
          <w:spacing w:val="-12"/>
          <w:w w:val="105"/>
          <w:sz w:val="18"/>
        </w:rPr>
        <w:t> </w:t>
      </w:r>
      <w:r>
        <w:rPr>
          <w:rFonts w:ascii="Arial"/>
          <w:i/>
          <w:color w:val="231F20"/>
          <w:w w:val="105"/>
          <w:sz w:val="18"/>
        </w:rPr>
        <w:t>prevail</w:t>
      </w:r>
      <w:r>
        <w:rPr>
          <w:rFonts w:ascii="Arial"/>
          <w:i/>
          <w:color w:val="231F20"/>
          <w:spacing w:val="-13"/>
          <w:w w:val="105"/>
          <w:sz w:val="18"/>
        </w:rPr>
        <w:t> </w:t>
      </w:r>
      <w:r>
        <w:rPr>
          <w:rFonts w:ascii="Arial"/>
          <w:i/>
          <w:color w:val="231F20"/>
          <w:w w:val="105"/>
          <w:sz w:val="18"/>
        </w:rPr>
        <w:t>over</w:t>
      </w:r>
    </w:p>
    <w:p>
      <w:pPr>
        <w:spacing w:line="207" w:lineRule="exact" w:before="0"/>
        <w:ind w:left="106" w:right="0" w:firstLine="0"/>
        <w:jc w:val="left"/>
        <w:rPr>
          <w:rFonts w:ascii="Arial"/>
          <w:i/>
          <w:sz w:val="18"/>
        </w:rPr>
      </w:pPr>
      <w:r>
        <w:rPr>
          <w:rFonts w:ascii="Arial"/>
          <w:i/>
          <w:color w:val="231F20"/>
          <w:w w:val="105"/>
          <w:sz w:val="18"/>
        </w:rPr>
        <w:t>the English text.</w:t>
      </w:r>
    </w:p>
    <w:p>
      <w:pPr>
        <w:pStyle w:val="BodyText"/>
        <w:spacing w:line="276" w:lineRule="auto" w:before="109"/>
        <w:ind w:left="333" w:right="590"/>
      </w:pPr>
      <w:r>
        <w:rPr/>
        <w:br w:type="column"/>
      </w:r>
      <w:r>
        <w:rPr>
          <w:color w:val="231F20"/>
        </w:rPr>
        <w:t>fully paid up, through the exercise of conversion rights and/or option rights granted in connection with the issuance by Nestlé or one of its subsidiaries of newly or already issued convertible debentures, debentures with option rights or other financial market instruments.</w:t>
      </w:r>
    </w:p>
    <w:p>
      <w:pPr>
        <w:pStyle w:val="ListParagraph"/>
        <w:numPr>
          <w:ilvl w:val="0"/>
          <w:numId w:val="28"/>
        </w:numPr>
        <w:tabs>
          <w:tab w:pos="334" w:val="left" w:leader="none"/>
        </w:tabs>
        <w:spacing w:line="276" w:lineRule="auto" w:before="0" w:after="0"/>
        <w:ind w:left="333" w:right="629" w:hanging="227"/>
        <w:jc w:val="left"/>
        <w:rPr>
          <w:sz w:val="18"/>
        </w:rPr>
      </w:pPr>
      <w:r>
        <w:rPr>
          <w:color w:val="231F20"/>
          <w:sz w:val="18"/>
        </w:rPr>
        <w:t>The shareholders have no preferential rights to subscribe for these new shares. The current owners of conversion rights and/or option rights shall be entitled to subscribe for the new</w:t>
      </w:r>
      <w:r>
        <w:rPr>
          <w:color w:val="231F20"/>
          <w:spacing w:val="-8"/>
          <w:sz w:val="18"/>
        </w:rPr>
        <w:t> </w:t>
      </w:r>
      <w:r>
        <w:rPr>
          <w:color w:val="231F20"/>
          <w:sz w:val="18"/>
        </w:rPr>
        <w:t>shares.</w:t>
      </w:r>
    </w:p>
    <w:p>
      <w:pPr>
        <w:pStyle w:val="ListParagraph"/>
        <w:numPr>
          <w:ilvl w:val="0"/>
          <w:numId w:val="28"/>
        </w:numPr>
        <w:tabs>
          <w:tab w:pos="334" w:val="left" w:leader="none"/>
        </w:tabs>
        <w:spacing w:line="276" w:lineRule="auto" w:before="0" w:after="0"/>
        <w:ind w:left="333" w:right="611" w:hanging="227"/>
        <w:jc w:val="left"/>
        <w:rPr>
          <w:sz w:val="18"/>
        </w:rPr>
      </w:pPr>
      <w:r>
        <w:rPr>
          <w:color w:val="231F20"/>
          <w:sz w:val="18"/>
        </w:rPr>
        <w:t>The new shares shall be subject, as soon as they are issued following the exercise of conversion and/or option rights, to the restrictions set forth in art.</w:t>
      </w:r>
      <w:r>
        <w:rPr>
          <w:color w:val="231F20"/>
          <w:spacing w:val="-29"/>
          <w:sz w:val="18"/>
        </w:rPr>
        <w:t> </w:t>
      </w:r>
      <w:r>
        <w:rPr>
          <w:color w:val="231F20"/>
          <w:sz w:val="18"/>
        </w:rPr>
        <w:t>5.</w:t>
      </w:r>
    </w:p>
    <w:p>
      <w:pPr>
        <w:pStyle w:val="ListParagraph"/>
        <w:numPr>
          <w:ilvl w:val="0"/>
          <w:numId w:val="28"/>
        </w:numPr>
        <w:tabs>
          <w:tab w:pos="334" w:val="left" w:leader="none"/>
        </w:tabs>
        <w:spacing w:line="276" w:lineRule="auto" w:before="0" w:after="0"/>
        <w:ind w:left="333" w:right="641" w:hanging="227"/>
        <w:jc w:val="left"/>
        <w:rPr>
          <w:sz w:val="18"/>
        </w:rPr>
      </w:pPr>
      <w:r>
        <w:rPr>
          <w:color w:val="231F20"/>
          <w:sz w:val="18"/>
        </w:rPr>
        <w:t>The Board of Directors may limit or withdraw the right   of the shareholders to subscribe in priority to convertible debentures, debentures with option rights or similar financial market instruments when they are issued,</w:t>
      </w:r>
      <w:r>
        <w:rPr>
          <w:color w:val="231F20"/>
          <w:spacing w:val="15"/>
          <w:sz w:val="18"/>
        </w:rPr>
        <w:t> </w:t>
      </w:r>
      <w:r>
        <w:rPr>
          <w:color w:val="231F20"/>
          <w:sz w:val="18"/>
        </w:rPr>
        <w:t>if:</w:t>
      </w:r>
    </w:p>
    <w:p>
      <w:pPr>
        <w:pStyle w:val="ListParagraph"/>
        <w:numPr>
          <w:ilvl w:val="0"/>
          <w:numId w:val="29"/>
        </w:numPr>
        <w:tabs>
          <w:tab w:pos="334" w:val="left" w:leader="none"/>
        </w:tabs>
        <w:spacing w:line="276" w:lineRule="auto" w:before="0" w:after="0"/>
        <w:ind w:left="333" w:right="919" w:hanging="227"/>
        <w:jc w:val="left"/>
        <w:rPr>
          <w:sz w:val="18"/>
        </w:rPr>
      </w:pPr>
      <w:r>
        <w:rPr>
          <w:color w:val="231F20"/>
          <w:sz w:val="18"/>
        </w:rPr>
        <w:t>an issue by firm underwriting by a consortium with subsequent offering to the public without preferential subscription rights seems to be the most appropriate form of issue at the time, particularly in terms of the conditions for issue;</w:t>
      </w:r>
      <w:r>
        <w:rPr>
          <w:color w:val="231F20"/>
          <w:spacing w:val="-7"/>
          <w:sz w:val="18"/>
        </w:rPr>
        <w:t> </w:t>
      </w:r>
      <w:r>
        <w:rPr>
          <w:color w:val="231F20"/>
          <w:sz w:val="18"/>
        </w:rPr>
        <w:t>or</w:t>
      </w:r>
    </w:p>
    <w:p>
      <w:pPr>
        <w:pStyle w:val="ListParagraph"/>
        <w:numPr>
          <w:ilvl w:val="0"/>
          <w:numId w:val="29"/>
        </w:numPr>
        <w:tabs>
          <w:tab w:pos="334" w:val="left" w:leader="none"/>
        </w:tabs>
        <w:spacing w:line="276" w:lineRule="auto" w:before="0" w:after="0"/>
        <w:ind w:left="333" w:right="671" w:hanging="227"/>
        <w:jc w:val="left"/>
        <w:rPr>
          <w:sz w:val="18"/>
        </w:rPr>
      </w:pPr>
      <w:r>
        <w:rPr>
          <w:color w:val="231F20"/>
          <w:sz w:val="18"/>
        </w:rPr>
        <w:t>the financial market instruments with conversion or option rights are issued in connection with the financing or refinancing of the acquisition of an enterprise or </w:t>
      </w:r>
      <w:r>
        <w:rPr>
          <w:color w:val="231F20"/>
          <w:spacing w:val="2"/>
          <w:sz w:val="18"/>
        </w:rPr>
        <w:t>parts </w:t>
      </w:r>
      <w:r>
        <w:rPr>
          <w:color w:val="231F20"/>
          <w:sz w:val="18"/>
        </w:rPr>
        <w:t>of an enterprise or participations or new</w:t>
      </w:r>
      <w:r>
        <w:rPr>
          <w:color w:val="231F20"/>
          <w:spacing w:val="29"/>
          <w:sz w:val="18"/>
        </w:rPr>
        <w:t> </w:t>
      </w:r>
      <w:r>
        <w:rPr>
          <w:color w:val="231F20"/>
          <w:sz w:val="18"/>
        </w:rPr>
        <w:t>investments.</w:t>
      </w:r>
    </w:p>
    <w:p>
      <w:pPr>
        <w:pStyle w:val="ListParagraph"/>
        <w:numPr>
          <w:ilvl w:val="0"/>
          <w:numId w:val="28"/>
        </w:numPr>
        <w:tabs>
          <w:tab w:pos="334" w:val="left" w:leader="none"/>
        </w:tabs>
        <w:spacing w:line="276" w:lineRule="auto" w:before="0" w:after="0"/>
        <w:ind w:left="333" w:right="617" w:hanging="227"/>
        <w:jc w:val="left"/>
        <w:rPr>
          <w:sz w:val="18"/>
        </w:rPr>
      </w:pPr>
      <w:r>
        <w:rPr>
          <w:color w:val="231F20"/>
          <w:sz w:val="18"/>
        </w:rPr>
        <w:t>Any financial market instruments with conversion or option rights which the Board of Directors decides not to offer directly or indirectly for prior subscription to the shareholders</w:t>
      </w:r>
      <w:r>
        <w:rPr>
          <w:color w:val="231F20"/>
          <w:spacing w:val="12"/>
          <w:sz w:val="18"/>
        </w:rPr>
        <w:t> </w:t>
      </w:r>
      <w:r>
        <w:rPr>
          <w:color w:val="231F20"/>
          <w:sz w:val="18"/>
        </w:rPr>
        <w:t>shall</w:t>
      </w:r>
      <w:r>
        <w:rPr>
          <w:color w:val="231F20"/>
          <w:spacing w:val="12"/>
          <w:sz w:val="18"/>
        </w:rPr>
        <w:t> </w:t>
      </w:r>
      <w:r>
        <w:rPr>
          <w:color w:val="231F20"/>
          <w:sz w:val="18"/>
        </w:rPr>
        <w:t>be</w:t>
      </w:r>
      <w:r>
        <w:rPr>
          <w:color w:val="231F20"/>
          <w:spacing w:val="12"/>
          <w:sz w:val="18"/>
        </w:rPr>
        <w:t> </w:t>
      </w:r>
      <w:r>
        <w:rPr>
          <w:color w:val="231F20"/>
          <w:sz w:val="18"/>
        </w:rPr>
        <w:t>subject</w:t>
      </w:r>
      <w:r>
        <w:rPr>
          <w:color w:val="231F20"/>
          <w:spacing w:val="12"/>
          <w:sz w:val="18"/>
        </w:rPr>
        <w:t> </w:t>
      </w:r>
      <w:r>
        <w:rPr>
          <w:color w:val="231F20"/>
          <w:sz w:val="18"/>
        </w:rPr>
        <w:t>to</w:t>
      </w:r>
      <w:r>
        <w:rPr>
          <w:color w:val="231F20"/>
          <w:spacing w:val="13"/>
          <w:sz w:val="18"/>
        </w:rPr>
        <w:t> </w:t>
      </w:r>
      <w:r>
        <w:rPr>
          <w:color w:val="231F20"/>
          <w:sz w:val="18"/>
        </w:rPr>
        <w:t>the</w:t>
      </w:r>
      <w:r>
        <w:rPr>
          <w:color w:val="231F20"/>
          <w:spacing w:val="12"/>
          <w:sz w:val="18"/>
        </w:rPr>
        <w:t> </w:t>
      </w:r>
      <w:r>
        <w:rPr>
          <w:color w:val="231F20"/>
          <w:sz w:val="18"/>
        </w:rPr>
        <w:t>following</w:t>
      </w:r>
      <w:r>
        <w:rPr>
          <w:color w:val="231F20"/>
          <w:spacing w:val="12"/>
          <w:sz w:val="18"/>
        </w:rPr>
        <w:t> </w:t>
      </w:r>
      <w:r>
        <w:rPr>
          <w:color w:val="231F20"/>
          <w:sz w:val="18"/>
        </w:rPr>
        <w:t>conditions:</w:t>
      </w:r>
    </w:p>
    <w:p>
      <w:pPr>
        <w:pStyle w:val="ListParagraph"/>
        <w:numPr>
          <w:ilvl w:val="0"/>
          <w:numId w:val="30"/>
        </w:numPr>
        <w:tabs>
          <w:tab w:pos="334" w:val="left" w:leader="none"/>
        </w:tabs>
        <w:spacing w:line="208" w:lineRule="exact" w:before="0" w:after="0"/>
        <w:ind w:left="333" w:right="0" w:hanging="227"/>
        <w:jc w:val="left"/>
        <w:rPr>
          <w:sz w:val="18"/>
        </w:rPr>
      </w:pPr>
      <w:r>
        <w:rPr>
          <w:color w:val="231F20"/>
          <w:sz w:val="18"/>
        </w:rPr>
        <w:t>Conversion rights may be exercised only for up</w:t>
      </w:r>
      <w:r>
        <w:rPr>
          <w:color w:val="231F20"/>
          <w:spacing w:val="12"/>
          <w:sz w:val="18"/>
        </w:rPr>
        <w:t> </w:t>
      </w:r>
      <w:r>
        <w:rPr>
          <w:color w:val="231F20"/>
          <w:sz w:val="18"/>
        </w:rPr>
        <w:t>to</w:t>
      </w:r>
    </w:p>
    <w:p>
      <w:pPr>
        <w:pStyle w:val="BodyText"/>
        <w:spacing w:line="276" w:lineRule="auto" w:before="22"/>
        <w:ind w:left="333" w:right="590"/>
      </w:pPr>
      <w:r>
        <w:rPr>
          <w:color w:val="231F20"/>
        </w:rPr>
        <w:t>15 years, and option rights only during 7 years from the date of issue of the relevant financial market instruments.</w:t>
      </w:r>
    </w:p>
    <w:p>
      <w:pPr>
        <w:pStyle w:val="ListParagraph"/>
        <w:numPr>
          <w:ilvl w:val="0"/>
          <w:numId w:val="30"/>
        </w:numPr>
        <w:tabs>
          <w:tab w:pos="334" w:val="left" w:leader="none"/>
        </w:tabs>
        <w:spacing w:line="276" w:lineRule="auto" w:before="0" w:after="0"/>
        <w:ind w:left="333" w:right="871" w:hanging="227"/>
        <w:jc w:val="left"/>
        <w:rPr>
          <w:sz w:val="18"/>
        </w:rPr>
      </w:pPr>
      <w:r>
        <w:rPr>
          <w:color w:val="231F20"/>
          <w:w w:val="105"/>
          <w:sz w:val="18"/>
        </w:rPr>
        <w:t>The new shares shall be issued according to the applicable conversion or option conditions. The respective</w:t>
      </w:r>
      <w:r>
        <w:rPr>
          <w:color w:val="231F20"/>
          <w:spacing w:val="-17"/>
          <w:w w:val="105"/>
          <w:sz w:val="18"/>
        </w:rPr>
        <w:t> </w:t>
      </w:r>
      <w:r>
        <w:rPr>
          <w:color w:val="231F20"/>
          <w:w w:val="105"/>
          <w:sz w:val="18"/>
        </w:rPr>
        <w:t>financial</w:t>
      </w:r>
      <w:r>
        <w:rPr>
          <w:color w:val="231F20"/>
          <w:spacing w:val="-16"/>
          <w:w w:val="105"/>
          <w:sz w:val="18"/>
        </w:rPr>
        <w:t> </w:t>
      </w:r>
      <w:r>
        <w:rPr>
          <w:color w:val="231F20"/>
          <w:w w:val="105"/>
          <w:sz w:val="18"/>
        </w:rPr>
        <w:t>instruments</w:t>
      </w:r>
      <w:r>
        <w:rPr>
          <w:color w:val="231F20"/>
          <w:spacing w:val="-16"/>
          <w:w w:val="105"/>
          <w:sz w:val="18"/>
        </w:rPr>
        <w:t> </w:t>
      </w:r>
      <w:r>
        <w:rPr>
          <w:color w:val="231F20"/>
          <w:w w:val="105"/>
          <w:sz w:val="18"/>
        </w:rPr>
        <w:t>must</w:t>
      </w:r>
      <w:r>
        <w:rPr>
          <w:color w:val="231F20"/>
          <w:spacing w:val="-16"/>
          <w:w w:val="105"/>
          <w:sz w:val="18"/>
        </w:rPr>
        <w:t> </w:t>
      </w:r>
      <w:r>
        <w:rPr>
          <w:color w:val="231F20"/>
          <w:w w:val="105"/>
          <w:sz w:val="18"/>
        </w:rPr>
        <w:t>be</w:t>
      </w:r>
      <w:r>
        <w:rPr>
          <w:color w:val="231F20"/>
          <w:spacing w:val="-17"/>
          <w:w w:val="105"/>
          <w:sz w:val="18"/>
        </w:rPr>
        <w:t> </w:t>
      </w:r>
      <w:r>
        <w:rPr>
          <w:color w:val="231F20"/>
          <w:w w:val="105"/>
          <w:sz w:val="18"/>
        </w:rPr>
        <w:t>issued</w:t>
      </w:r>
      <w:r>
        <w:rPr>
          <w:color w:val="231F20"/>
          <w:spacing w:val="-16"/>
          <w:w w:val="105"/>
          <w:sz w:val="18"/>
        </w:rPr>
        <w:t> </w:t>
      </w:r>
      <w:r>
        <w:rPr>
          <w:color w:val="231F20"/>
          <w:w w:val="105"/>
          <w:sz w:val="18"/>
        </w:rPr>
        <w:t>at</w:t>
      </w:r>
      <w:r>
        <w:rPr>
          <w:color w:val="231F20"/>
          <w:spacing w:val="-16"/>
          <w:w w:val="105"/>
          <w:sz w:val="18"/>
        </w:rPr>
        <w:t> </w:t>
      </w:r>
      <w:r>
        <w:rPr>
          <w:color w:val="231F20"/>
          <w:w w:val="105"/>
          <w:sz w:val="18"/>
        </w:rPr>
        <w:t>the relevant market</w:t>
      </w:r>
      <w:r>
        <w:rPr>
          <w:color w:val="231F20"/>
          <w:spacing w:val="-16"/>
          <w:w w:val="105"/>
          <w:sz w:val="18"/>
        </w:rPr>
        <w:t> </w:t>
      </w:r>
      <w:r>
        <w:rPr>
          <w:color w:val="231F20"/>
          <w:w w:val="105"/>
          <w:sz w:val="18"/>
        </w:rPr>
        <w:t>conditions.</w:t>
      </w:r>
    </w:p>
    <w:p>
      <w:pPr>
        <w:pStyle w:val="ListParagraph"/>
        <w:numPr>
          <w:ilvl w:val="0"/>
          <w:numId w:val="30"/>
        </w:numPr>
        <w:tabs>
          <w:tab w:pos="334" w:val="left" w:leader="none"/>
        </w:tabs>
        <w:spacing w:line="276" w:lineRule="auto" w:before="0" w:after="0"/>
        <w:ind w:left="333" w:right="659" w:hanging="227"/>
        <w:jc w:val="left"/>
        <w:rPr>
          <w:sz w:val="18"/>
        </w:rPr>
      </w:pPr>
      <w:r>
        <w:rPr>
          <w:color w:val="231F20"/>
          <w:sz w:val="18"/>
        </w:rPr>
        <w:t>The issue of new shares upon exercise of option or conversion rights shall be made at conditions taking into account the market price of the shares and/or comparable instruments with a market price at the time of issuance of the relevant convertible debenture, debenture with option rights or similar financial market instrument.</w:t>
      </w:r>
    </w:p>
    <w:p>
      <w:pPr>
        <w:spacing w:after="0" w:line="276" w:lineRule="auto"/>
        <w:jc w:val="left"/>
        <w:rPr>
          <w:sz w:val="18"/>
        </w:rPr>
        <w:sectPr>
          <w:type w:val="continuous"/>
          <w:pgSz w:w="11910" w:h="14750"/>
          <w:pgMar w:top="540" w:bottom="280" w:left="460" w:right="460"/>
          <w:cols w:num="2" w:equalWidth="0">
            <w:col w:w="5193" w:space="79"/>
            <w:col w:w="5718"/>
          </w:cols>
        </w:sectPr>
      </w:pPr>
    </w:p>
    <w:p>
      <w:pPr>
        <w:pStyle w:val="BodyText"/>
        <w:rPr>
          <w:sz w:val="20"/>
        </w:rPr>
      </w:pPr>
    </w:p>
    <w:p>
      <w:pPr>
        <w:pStyle w:val="BodyText"/>
        <w:rPr>
          <w:sz w:val="20"/>
        </w:rPr>
      </w:pPr>
    </w:p>
    <w:p>
      <w:pPr>
        <w:pStyle w:val="BodyText"/>
        <w:spacing w:before="11"/>
        <w:rPr>
          <w:sz w:val="15"/>
        </w:rPr>
      </w:pPr>
    </w:p>
    <w:p>
      <w:pPr>
        <w:spacing w:after="0"/>
        <w:rPr>
          <w:sz w:val="15"/>
        </w:rPr>
        <w:sectPr>
          <w:headerReference w:type="default" r:id="rId95"/>
          <w:headerReference w:type="even" r:id="rId96"/>
          <w:footerReference w:type="default" r:id="rId97"/>
          <w:footerReference w:type="even" r:id="rId98"/>
          <w:pgSz w:w="11910" w:h="14750"/>
          <w:pgMar w:header="642" w:footer="509" w:top="840" w:bottom="700" w:left="460" w:right="460"/>
          <w:pgNumType w:start="49"/>
        </w:sectPr>
      </w:pPr>
    </w:p>
    <w:p>
      <w:pPr>
        <w:pStyle w:val="BodyText"/>
        <w:spacing w:before="106"/>
        <w:ind w:left="560"/>
      </w:pPr>
      <w:bookmarkStart w:name="III. Organisation of Nestlé" w:id="38"/>
      <w:bookmarkEnd w:id="38"/>
      <w:r>
        <w:rPr/>
      </w:r>
      <w:r>
        <w:rPr>
          <w:color w:val="231F20"/>
          <w:w w:val="105"/>
        </w:rPr>
        <w:t>Article 4</w:t>
      </w:r>
    </w:p>
    <w:p>
      <w:pPr>
        <w:pStyle w:val="Heading3"/>
        <w:spacing w:before="31"/>
      </w:pPr>
      <w:r>
        <w:rPr>
          <w:color w:val="586670"/>
          <w:w w:val="105"/>
        </w:rPr>
        <w:t>Share certificates; Intermediated securities</w:t>
      </w:r>
    </w:p>
    <w:p>
      <w:pPr>
        <w:pStyle w:val="ListParagraph"/>
        <w:numPr>
          <w:ilvl w:val="1"/>
          <w:numId w:val="30"/>
        </w:numPr>
        <w:tabs>
          <w:tab w:pos="788" w:val="left" w:leader="none"/>
        </w:tabs>
        <w:spacing w:line="276" w:lineRule="auto" w:before="31" w:after="0"/>
        <w:ind w:left="787" w:right="202" w:hanging="227"/>
        <w:jc w:val="left"/>
        <w:rPr>
          <w:sz w:val="18"/>
        </w:rPr>
      </w:pPr>
      <w:r>
        <w:rPr>
          <w:color w:val="231F20"/>
          <w:sz w:val="18"/>
        </w:rPr>
        <w:t>Nestlé may issue its registered shares in the form of single certificates, global certificates or uncertificated securities. Under the conditions set forth by statutory law, Nestlé may convert its registered shares from one form into another form at any time and without the approval of the shareholders. Nestlé shall bear the cost of any such</w:t>
      </w:r>
      <w:r>
        <w:rPr>
          <w:color w:val="231F20"/>
          <w:spacing w:val="-5"/>
          <w:sz w:val="18"/>
        </w:rPr>
        <w:t> </w:t>
      </w:r>
      <w:r>
        <w:rPr>
          <w:color w:val="231F20"/>
          <w:sz w:val="18"/>
        </w:rPr>
        <w:t>conversion.</w:t>
      </w:r>
    </w:p>
    <w:p>
      <w:pPr>
        <w:pStyle w:val="ListParagraph"/>
        <w:numPr>
          <w:ilvl w:val="1"/>
          <w:numId w:val="30"/>
        </w:numPr>
        <w:tabs>
          <w:tab w:pos="788" w:val="left" w:leader="none"/>
        </w:tabs>
        <w:spacing w:line="276" w:lineRule="auto" w:before="0" w:after="0"/>
        <w:ind w:left="787" w:right="93" w:hanging="227"/>
        <w:jc w:val="left"/>
        <w:rPr>
          <w:sz w:val="18"/>
        </w:rPr>
      </w:pPr>
      <w:r>
        <w:rPr>
          <w:color w:val="231F20"/>
          <w:sz w:val="18"/>
        </w:rPr>
        <w:t>If registered shares are issued in the form of single certificates or global certificates, they shall be signed by two members of the Board of Directors. Both signatures may be affixed in</w:t>
      </w:r>
      <w:r>
        <w:rPr>
          <w:color w:val="231F20"/>
          <w:spacing w:val="-11"/>
          <w:sz w:val="18"/>
        </w:rPr>
        <w:t> </w:t>
      </w:r>
      <w:r>
        <w:rPr>
          <w:color w:val="231F20"/>
          <w:sz w:val="18"/>
        </w:rPr>
        <w:t>facsimile.</w:t>
      </w:r>
    </w:p>
    <w:p>
      <w:pPr>
        <w:pStyle w:val="ListParagraph"/>
        <w:numPr>
          <w:ilvl w:val="1"/>
          <w:numId w:val="30"/>
        </w:numPr>
        <w:tabs>
          <w:tab w:pos="788" w:val="left" w:leader="none"/>
        </w:tabs>
        <w:spacing w:line="276" w:lineRule="auto" w:before="0" w:after="0"/>
        <w:ind w:left="787" w:right="26" w:hanging="227"/>
        <w:jc w:val="left"/>
        <w:rPr>
          <w:sz w:val="18"/>
        </w:rPr>
      </w:pPr>
      <w:r>
        <w:rPr>
          <w:color w:val="231F20"/>
          <w:sz w:val="18"/>
        </w:rPr>
        <w:t>The shareholder has no right to demand a conversion of the form of the registered shares. Each shareholder </w:t>
      </w:r>
      <w:r>
        <w:rPr>
          <w:color w:val="231F20"/>
          <w:spacing w:val="-3"/>
          <w:sz w:val="18"/>
        </w:rPr>
        <w:t>may, </w:t>
      </w:r>
      <w:r>
        <w:rPr>
          <w:color w:val="231F20"/>
          <w:sz w:val="18"/>
        </w:rPr>
        <w:t>however, at any time request a written confirmation from Nestlé of the registered shares held by such shareholder, as reflected in the share</w:t>
      </w:r>
      <w:r>
        <w:rPr>
          <w:color w:val="231F20"/>
          <w:spacing w:val="-16"/>
          <w:sz w:val="18"/>
        </w:rPr>
        <w:t> </w:t>
      </w:r>
      <w:r>
        <w:rPr>
          <w:color w:val="231F20"/>
          <w:sz w:val="18"/>
        </w:rPr>
        <w:t>register.</w:t>
      </w:r>
    </w:p>
    <w:p>
      <w:pPr>
        <w:pStyle w:val="ListParagraph"/>
        <w:numPr>
          <w:ilvl w:val="1"/>
          <w:numId w:val="30"/>
        </w:numPr>
        <w:tabs>
          <w:tab w:pos="788" w:val="left" w:leader="none"/>
        </w:tabs>
        <w:spacing w:line="276" w:lineRule="auto" w:before="0" w:after="0"/>
        <w:ind w:left="787" w:right="258" w:hanging="227"/>
        <w:jc w:val="left"/>
        <w:rPr>
          <w:sz w:val="18"/>
        </w:rPr>
      </w:pPr>
      <w:r>
        <w:rPr>
          <w:color w:val="231F20"/>
          <w:sz w:val="18"/>
        </w:rPr>
        <w:t>Intermediated securities based on registered shares of Nestlé cannot be transferred by way of</w:t>
      </w:r>
      <w:r>
        <w:rPr>
          <w:color w:val="231F20"/>
          <w:spacing w:val="5"/>
          <w:sz w:val="18"/>
        </w:rPr>
        <w:t> </w:t>
      </w:r>
      <w:r>
        <w:rPr>
          <w:color w:val="231F20"/>
          <w:sz w:val="18"/>
        </w:rPr>
        <w:t>assignment.</w:t>
      </w:r>
    </w:p>
    <w:p>
      <w:pPr>
        <w:pStyle w:val="BodyText"/>
        <w:spacing w:line="276" w:lineRule="auto"/>
        <w:ind w:left="787" w:right="216"/>
      </w:pPr>
      <w:r>
        <w:rPr>
          <w:color w:val="231F20"/>
          <w:w w:val="105"/>
        </w:rPr>
        <w:t>A</w:t>
      </w:r>
      <w:r>
        <w:rPr>
          <w:color w:val="231F20"/>
          <w:spacing w:val="-20"/>
          <w:w w:val="105"/>
        </w:rPr>
        <w:t> </w:t>
      </w:r>
      <w:r>
        <w:rPr>
          <w:color w:val="231F20"/>
          <w:w w:val="105"/>
        </w:rPr>
        <w:t>security</w:t>
      </w:r>
      <w:r>
        <w:rPr>
          <w:color w:val="231F20"/>
          <w:spacing w:val="-19"/>
          <w:w w:val="105"/>
        </w:rPr>
        <w:t> </w:t>
      </w:r>
      <w:r>
        <w:rPr>
          <w:color w:val="231F20"/>
          <w:w w:val="105"/>
        </w:rPr>
        <w:t>interest</w:t>
      </w:r>
      <w:r>
        <w:rPr>
          <w:color w:val="231F20"/>
          <w:spacing w:val="-19"/>
          <w:w w:val="105"/>
        </w:rPr>
        <w:t> </w:t>
      </w:r>
      <w:r>
        <w:rPr>
          <w:color w:val="231F20"/>
          <w:w w:val="105"/>
        </w:rPr>
        <w:t>in</w:t>
      </w:r>
      <w:r>
        <w:rPr>
          <w:color w:val="231F20"/>
          <w:spacing w:val="-19"/>
          <w:w w:val="105"/>
        </w:rPr>
        <w:t> </w:t>
      </w:r>
      <w:r>
        <w:rPr>
          <w:color w:val="231F20"/>
          <w:w w:val="105"/>
        </w:rPr>
        <w:t>any</w:t>
      </w:r>
      <w:r>
        <w:rPr>
          <w:color w:val="231F20"/>
          <w:spacing w:val="-19"/>
          <w:w w:val="105"/>
        </w:rPr>
        <w:t> </w:t>
      </w:r>
      <w:r>
        <w:rPr>
          <w:color w:val="231F20"/>
          <w:w w:val="105"/>
        </w:rPr>
        <w:t>such</w:t>
      </w:r>
      <w:r>
        <w:rPr>
          <w:color w:val="231F20"/>
          <w:spacing w:val="-19"/>
          <w:w w:val="105"/>
        </w:rPr>
        <w:t> </w:t>
      </w:r>
      <w:r>
        <w:rPr>
          <w:color w:val="231F20"/>
          <w:w w:val="105"/>
        </w:rPr>
        <w:t>intermediated</w:t>
      </w:r>
      <w:r>
        <w:rPr>
          <w:color w:val="231F20"/>
          <w:spacing w:val="-19"/>
          <w:w w:val="105"/>
        </w:rPr>
        <w:t> </w:t>
      </w:r>
      <w:r>
        <w:rPr>
          <w:color w:val="231F20"/>
          <w:w w:val="105"/>
        </w:rPr>
        <w:t>securities cannot be granted by way of</w:t>
      </w:r>
      <w:r>
        <w:rPr>
          <w:color w:val="231F20"/>
          <w:spacing w:val="-38"/>
          <w:w w:val="105"/>
        </w:rPr>
        <w:t> </w:t>
      </w:r>
      <w:r>
        <w:rPr>
          <w:color w:val="231F20"/>
          <w:w w:val="105"/>
        </w:rPr>
        <w:t>assignment.</w:t>
      </w:r>
    </w:p>
    <w:p>
      <w:pPr>
        <w:pStyle w:val="BodyText"/>
        <w:spacing w:before="1"/>
        <w:rPr>
          <w:sz w:val="20"/>
        </w:rPr>
      </w:pPr>
    </w:p>
    <w:p>
      <w:pPr>
        <w:pStyle w:val="BodyText"/>
        <w:ind w:left="560"/>
      </w:pPr>
      <w:r>
        <w:rPr>
          <w:color w:val="231F20"/>
          <w:w w:val="105"/>
        </w:rPr>
        <w:t>Article 5</w:t>
      </w:r>
    </w:p>
    <w:p>
      <w:pPr>
        <w:pStyle w:val="Heading3"/>
        <w:spacing w:before="31"/>
      </w:pPr>
      <w:r>
        <w:rPr>
          <w:color w:val="586670"/>
          <w:w w:val="110"/>
        </w:rPr>
        <w:t>Share register</w:t>
      </w:r>
    </w:p>
    <w:p>
      <w:pPr>
        <w:pStyle w:val="ListParagraph"/>
        <w:numPr>
          <w:ilvl w:val="0"/>
          <w:numId w:val="31"/>
        </w:numPr>
        <w:tabs>
          <w:tab w:pos="788" w:val="left" w:leader="none"/>
        </w:tabs>
        <w:spacing w:line="276" w:lineRule="auto" w:before="31" w:after="0"/>
        <w:ind w:left="787" w:right="0" w:hanging="227"/>
        <w:jc w:val="left"/>
        <w:rPr>
          <w:sz w:val="18"/>
        </w:rPr>
      </w:pPr>
      <w:r>
        <w:rPr>
          <w:color w:val="231F20"/>
          <w:sz w:val="18"/>
        </w:rPr>
        <w:t>Nestlé shall maintain a share register showing the name and address of the holders or usufructuaries. Any change of address must be reported to</w:t>
      </w:r>
      <w:r>
        <w:rPr>
          <w:color w:val="231F20"/>
          <w:spacing w:val="-3"/>
          <w:sz w:val="18"/>
        </w:rPr>
        <w:t> </w:t>
      </w:r>
      <w:r>
        <w:rPr>
          <w:color w:val="231F20"/>
          <w:sz w:val="18"/>
        </w:rPr>
        <w:t>Nestlé.</w:t>
      </w:r>
    </w:p>
    <w:p>
      <w:pPr>
        <w:pStyle w:val="ListParagraph"/>
        <w:numPr>
          <w:ilvl w:val="0"/>
          <w:numId w:val="31"/>
        </w:numPr>
        <w:tabs>
          <w:tab w:pos="788" w:val="left" w:leader="none"/>
        </w:tabs>
        <w:spacing w:line="276" w:lineRule="auto" w:before="0" w:after="0"/>
        <w:ind w:left="787" w:right="175" w:hanging="227"/>
        <w:jc w:val="left"/>
        <w:rPr>
          <w:sz w:val="18"/>
        </w:rPr>
      </w:pPr>
      <w:r>
        <w:rPr>
          <w:color w:val="231F20"/>
          <w:w w:val="105"/>
          <w:sz w:val="18"/>
        </w:rPr>
        <w:t>Only persons entered in the share register as shareholders</w:t>
      </w:r>
      <w:r>
        <w:rPr>
          <w:color w:val="231F20"/>
          <w:spacing w:val="-14"/>
          <w:w w:val="105"/>
          <w:sz w:val="18"/>
        </w:rPr>
        <w:t> </w:t>
      </w:r>
      <w:r>
        <w:rPr>
          <w:color w:val="231F20"/>
          <w:w w:val="105"/>
          <w:sz w:val="18"/>
        </w:rPr>
        <w:t>with</w:t>
      </w:r>
      <w:r>
        <w:rPr>
          <w:color w:val="231F20"/>
          <w:spacing w:val="-13"/>
          <w:w w:val="105"/>
          <w:sz w:val="18"/>
        </w:rPr>
        <w:t> </w:t>
      </w:r>
      <w:r>
        <w:rPr>
          <w:color w:val="231F20"/>
          <w:w w:val="105"/>
          <w:sz w:val="18"/>
        </w:rPr>
        <w:t>voting</w:t>
      </w:r>
      <w:r>
        <w:rPr>
          <w:color w:val="231F20"/>
          <w:spacing w:val="-13"/>
          <w:w w:val="105"/>
          <w:sz w:val="18"/>
        </w:rPr>
        <w:t> </w:t>
      </w:r>
      <w:r>
        <w:rPr>
          <w:color w:val="231F20"/>
          <w:w w:val="105"/>
          <w:sz w:val="18"/>
        </w:rPr>
        <w:t>rights</w:t>
      </w:r>
      <w:r>
        <w:rPr>
          <w:color w:val="231F20"/>
          <w:spacing w:val="-13"/>
          <w:w w:val="105"/>
          <w:sz w:val="18"/>
        </w:rPr>
        <w:t> </w:t>
      </w:r>
      <w:r>
        <w:rPr>
          <w:color w:val="231F20"/>
          <w:w w:val="105"/>
          <w:sz w:val="18"/>
        </w:rPr>
        <w:t>may</w:t>
      </w:r>
      <w:r>
        <w:rPr>
          <w:color w:val="231F20"/>
          <w:spacing w:val="-13"/>
          <w:w w:val="105"/>
          <w:sz w:val="18"/>
        </w:rPr>
        <w:t> </w:t>
      </w:r>
      <w:r>
        <w:rPr>
          <w:color w:val="231F20"/>
          <w:w w:val="105"/>
          <w:sz w:val="18"/>
        </w:rPr>
        <w:t>exercise</w:t>
      </w:r>
      <w:r>
        <w:rPr>
          <w:color w:val="231F20"/>
          <w:spacing w:val="-13"/>
          <w:w w:val="105"/>
          <w:sz w:val="18"/>
        </w:rPr>
        <w:t> </w:t>
      </w:r>
      <w:r>
        <w:rPr>
          <w:color w:val="231F20"/>
          <w:w w:val="105"/>
          <w:sz w:val="18"/>
        </w:rPr>
        <w:t>the</w:t>
      </w:r>
      <w:r>
        <w:rPr>
          <w:color w:val="231F20"/>
          <w:spacing w:val="-13"/>
          <w:w w:val="105"/>
          <w:sz w:val="18"/>
        </w:rPr>
        <w:t> </w:t>
      </w:r>
      <w:r>
        <w:rPr>
          <w:color w:val="231F20"/>
          <w:w w:val="105"/>
          <w:sz w:val="18"/>
        </w:rPr>
        <w:t>voting rights</w:t>
      </w:r>
      <w:r>
        <w:rPr>
          <w:color w:val="231F20"/>
          <w:spacing w:val="-11"/>
          <w:w w:val="105"/>
          <w:sz w:val="18"/>
        </w:rPr>
        <w:t> </w:t>
      </w:r>
      <w:r>
        <w:rPr>
          <w:color w:val="231F20"/>
          <w:w w:val="105"/>
          <w:sz w:val="18"/>
        </w:rPr>
        <w:t>or</w:t>
      </w:r>
      <w:r>
        <w:rPr>
          <w:color w:val="231F20"/>
          <w:spacing w:val="-11"/>
          <w:w w:val="105"/>
          <w:sz w:val="18"/>
        </w:rPr>
        <w:t> </w:t>
      </w:r>
      <w:r>
        <w:rPr>
          <w:color w:val="231F20"/>
          <w:w w:val="105"/>
          <w:sz w:val="18"/>
        </w:rPr>
        <w:t>the</w:t>
      </w:r>
      <w:r>
        <w:rPr>
          <w:color w:val="231F20"/>
          <w:spacing w:val="-11"/>
          <w:w w:val="105"/>
          <w:sz w:val="18"/>
        </w:rPr>
        <w:t> </w:t>
      </w:r>
      <w:r>
        <w:rPr>
          <w:color w:val="231F20"/>
          <w:w w:val="105"/>
          <w:sz w:val="18"/>
        </w:rPr>
        <w:t>other</w:t>
      </w:r>
      <w:r>
        <w:rPr>
          <w:color w:val="231F20"/>
          <w:spacing w:val="-11"/>
          <w:w w:val="105"/>
          <w:sz w:val="18"/>
        </w:rPr>
        <w:t> </w:t>
      </w:r>
      <w:r>
        <w:rPr>
          <w:color w:val="231F20"/>
          <w:w w:val="105"/>
          <w:sz w:val="18"/>
        </w:rPr>
        <w:t>rights</w:t>
      </w:r>
      <w:r>
        <w:rPr>
          <w:color w:val="231F20"/>
          <w:spacing w:val="-10"/>
          <w:w w:val="105"/>
          <w:sz w:val="18"/>
        </w:rPr>
        <w:t> </w:t>
      </w:r>
      <w:r>
        <w:rPr>
          <w:color w:val="231F20"/>
          <w:w w:val="105"/>
          <w:sz w:val="18"/>
        </w:rPr>
        <w:t>related</w:t>
      </w:r>
      <w:r>
        <w:rPr>
          <w:color w:val="231F20"/>
          <w:spacing w:val="-11"/>
          <w:w w:val="105"/>
          <w:sz w:val="18"/>
        </w:rPr>
        <w:t> </w:t>
      </w:r>
      <w:r>
        <w:rPr>
          <w:color w:val="231F20"/>
          <w:w w:val="105"/>
          <w:sz w:val="18"/>
        </w:rPr>
        <w:t>thereto.</w:t>
      </w:r>
    </w:p>
    <w:p>
      <w:pPr>
        <w:pStyle w:val="ListParagraph"/>
        <w:numPr>
          <w:ilvl w:val="0"/>
          <w:numId w:val="31"/>
        </w:numPr>
        <w:tabs>
          <w:tab w:pos="788" w:val="left" w:leader="none"/>
        </w:tabs>
        <w:spacing w:line="276" w:lineRule="auto" w:before="0" w:after="0"/>
        <w:ind w:left="787" w:right="6" w:hanging="227"/>
        <w:jc w:val="left"/>
        <w:rPr>
          <w:sz w:val="18"/>
        </w:rPr>
      </w:pPr>
      <w:r>
        <w:rPr>
          <w:color w:val="231F20"/>
          <w:sz w:val="18"/>
        </w:rPr>
        <w:t>After the acquisition of shares, upon request of the shareholder to be recognised as  such,  any  acquiring </w:t>
      </w:r>
      <w:r>
        <w:rPr>
          <w:color w:val="231F20"/>
          <w:spacing w:val="3"/>
          <w:sz w:val="18"/>
        </w:rPr>
        <w:t>party </w:t>
      </w:r>
      <w:r>
        <w:rPr>
          <w:color w:val="231F20"/>
          <w:sz w:val="18"/>
        </w:rPr>
        <w:t>shall be considered as a shareholder without voting rights, until it is recognised by Nestlé as a shareholder with voting rights. If Nestlé does not refuse the request   to recognise the acquiring </w:t>
      </w:r>
      <w:r>
        <w:rPr>
          <w:color w:val="231F20"/>
          <w:spacing w:val="3"/>
          <w:sz w:val="18"/>
        </w:rPr>
        <w:t>party </w:t>
      </w:r>
      <w:r>
        <w:rPr>
          <w:color w:val="231F20"/>
          <w:sz w:val="18"/>
        </w:rPr>
        <w:t>within twenty days, the latter shall be deemed to be a shareholder with voting rights.</w:t>
      </w:r>
    </w:p>
    <w:p>
      <w:pPr>
        <w:pStyle w:val="ListParagraph"/>
        <w:numPr>
          <w:ilvl w:val="0"/>
          <w:numId w:val="31"/>
        </w:numPr>
        <w:tabs>
          <w:tab w:pos="788" w:val="left" w:leader="none"/>
        </w:tabs>
        <w:spacing w:line="276" w:lineRule="auto" w:before="0" w:after="0"/>
        <w:ind w:left="787" w:right="186" w:hanging="227"/>
        <w:jc w:val="left"/>
        <w:rPr>
          <w:sz w:val="18"/>
        </w:rPr>
      </w:pPr>
      <w:r>
        <w:rPr>
          <w:color w:val="231F20"/>
          <w:sz w:val="18"/>
        </w:rPr>
        <w:t>An acquirer of shares shall be recorded in the share register as a shareholder with voting rights provided he expressly declares to have acquired the shares in his own name and for his own</w:t>
      </w:r>
      <w:r>
        <w:rPr>
          <w:color w:val="231F20"/>
          <w:spacing w:val="4"/>
          <w:sz w:val="18"/>
        </w:rPr>
        <w:t> </w:t>
      </w:r>
      <w:r>
        <w:rPr>
          <w:color w:val="231F20"/>
          <w:sz w:val="18"/>
        </w:rPr>
        <w:t>account.</w:t>
      </w:r>
    </w:p>
    <w:p>
      <w:pPr>
        <w:pStyle w:val="ListParagraph"/>
        <w:numPr>
          <w:ilvl w:val="0"/>
          <w:numId w:val="31"/>
        </w:numPr>
        <w:tabs>
          <w:tab w:pos="788" w:val="left" w:leader="none"/>
        </w:tabs>
        <w:spacing w:line="276" w:lineRule="auto" w:before="0" w:after="0"/>
        <w:ind w:left="787" w:right="47" w:hanging="227"/>
        <w:jc w:val="left"/>
        <w:rPr>
          <w:sz w:val="18"/>
        </w:rPr>
      </w:pPr>
      <w:r>
        <w:rPr>
          <w:color w:val="231F20"/>
          <w:w w:val="105"/>
          <w:sz w:val="18"/>
        </w:rPr>
        <w:t>No</w:t>
      </w:r>
      <w:r>
        <w:rPr>
          <w:color w:val="231F20"/>
          <w:spacing w:val="-12"/>
          <w:w w:val="105"/>
          <w:sz w:val="18"/>
        </w:rPr>
        <w:t> </w:t>
      </w:r>
      <w:r>
        <w:rPr>
          <w:color w:val="231F20"/>
          <w:w w:val="105"/>
          <w:sz w:val="18"/>
        </w:rPr>
        <w:t>person</w:t>
      </w:r>
      <w:r>
        <w:rPr>
          <w:color w:val="231F20"/>
          <w:spacing w:val="-12"/>
          <w:w w:val="105"/>
          <w:sz w:val="18"/>
        </w:rPr>
        <w:t> </w:t>
      </w:r>
      <w:r>
        <w:rPr>
          <w:color w:val="231F20"/>
          <w:w w:val="105"/>
          <w:sz w:val="18"/>
        </w:rPr>
        <w:t>or</w:t>
      </w:r>
      <w:r>
        <w:rPr>
          <w:color w:val="231F20"/>
          <w:spacing w:val="-12"/>
          <w:w w:val="105"/>
          <w:sz w:val="18"/>
        </w:rPr>
        <w:t> </w:t>
      </w:r>
      <w:r>
        <w:rPr>
          <w:color w:val="231F20"/>
          <w:w w:val="105"/>
          <w:sz w:val="18"/>
        </w:rPr>
        <w:t>entity</w:t>
      </w:r>
      <w:r>
        <w:rPr>
          <w:color w:val="231F20"/>
          <w:spacing w:val="-12"/>
          <w:w w:val="105"/>
          <w:sz w:val="18"/>
        </w:rPr>
        <w:t> </w:t>
      </w:r>
      <w:r>
        <w:rPr>
          <w:color w:val="231F20"/>
          <w:w w:val="105"/>
          <w:sz w:val="18"/>
        </w:rPr>
        <w:t>shall</w:t>
      </w:r>
      <w:r>
        <w:rPr>
          <w:color w:val="231F20"/>
          <w:spacing w:val="-12"/>
          <w:w w:val="105"/>
          <w:sz w:val="18"/>
        </w:rPr>
        <w:t> </w:t>
      </w:r>
      <w:r>
        <w:rPr>
          <w:color w:val="231F20"/>
          <w:w w:val="105"/>
          <w:sz w:val="18"/>
        </w:rPr>
        <w:t>be</w:t>
      </w:r>
      <w:r>
        <w:rPr>
          <w:color w:val="231F20"/>
          <w:spacing w:val="-12"/>
          <w:w w:val="105"/>
          <w:sz w:val="18"/>
        </w:rPr>
        <w:t> </w:t>
      </w:r>
      <w:r>
        <w:rPr>
          <w:color w:val="231F20"/>
          <w:w w:val="105"/>
          <w:sz w:val="18"/>
        </w:rPr>
        <w:t>registered</w:t>
      </w:r>
      <w:r>
        <w:rPr>
          <w:color w:val="231F20"/>
          <w:spacing w:val="-12"/>
          <w:w w:val="105"/>
          <w:sz w:val="18"/>
        </w:rPr>
        <w:t> </w:t>
      </w:r>
      <w:r>
        <w:rPr>
          <w:color w:val="231F20"/>
          <w:w w:val="105"/>
          <w:sz w:val="18"/>
        </w:rPr>
        <w:t>with</w:t>
      </w:r>
      <w:r>
        <w:rPr>
          <w:color w:val="231F20"/>
          <w:spacing w:val="-11"/>
          <w:w w:val="105"/>
          <w:sz w:val="18"/>
        </w:rPr>
        <w:t> </w:t>
      </w:r>
      <w:r>
        <w:rPr>
          <w:color w:val="231F20"/>
          <w:w w:val="105"/>
          <w:sz w:val="18"/>
        </w:rPr>
        <w:t>voting</w:t>
      </w:r>
      <w:r>
        <w:rPr>
          <w:color w:val="231F20"/>
          <w:spacing w:val="-12"/>
          <w:w w:val="105"/>
          <w:sz w:val="18"/>
        </w:rPr>
        <w:t> </w:t>
      </w:r>
      <w:r>
        <w:rPr>
          <w:color w:val="231F20"/>
          <w:w w:val="105"/>
          <w:sz w:val="18"/>
        </w:rPr>
        <w:t>rights for</w:t>
      </w:r>
      <w:r>
        <w:rPr>
          <w:color w:val="231F20"/>
          <w:spacing w:val="-11"/>
          <w:w w:val="105"/>
          <w:sz w:val="18"/>
        </w:rPr>
        <w:t> </w:t>
      </w:r>
      <w:r>
        <w:rPr>
          <w:color w:val="231F20"/>
          <w:w w:val="105"/>
          <w:sz w:val="18"/>
        </w:rPr>
        <w:t>more</w:t>
      </w:r>
      <w:r>
        <w:rPr>
          <w:color w:val="231F20"/>
          <w:spacing w:val="-10"/>
          <w:w w:val="105"/>
          <w:sz w:val="18"/>
        </w:rPr>
        <w:t> </w:t>
      </w:r>
      <w:r>
        <w:rPr>
          <w:color w:val="231F20"/>
          <w:w w:val="105"/>
          <w:sz w:val="18"/>
        </w:rPr>
        <w:t>than</w:t>
      </w:r>
      <w:r>
        <w:rPr>
          <w:color w:val="231F20"/>
          <w:spacing w:val="-10"/>
          <w:w w:val="105"/>
          <w:sz w:val="18"/>
        </w:rPr>
        <w:t> </w:t>
      </w:r>
      <w:r>
        <w:rPr>
          <w:color w:val="231F20"/>
          <w:w w:val="105"/>
          <w:sz w:val="18"/>
        </w:rPr>
        <w:t>5%</w:t>
      </w:r>
      <w:r>
        <w:rPr>
          <w:color w:val="231F20"/>
          <w:spacing w:val="-10"/>
          <w:w w:val="105"/>
          <w:sz w:val="18"/>
        </w:rPr>
        <w:t> </w:t>
      </w:r>
      <w:r>
        <w:rPr>
          <w:color w:val="231F20"/>
          <w:w w:val="105"/>
          <w:sz w:val="18"/>
        </w:rPr>
        <w:t>of</w:t>
      </w:r>
      <w:r>
        <w:rPr>
          <w:color w:val="231F20"/>
          <w:spacing w:val="-10"/>
          <w:w w:val="105"/>
          <w:sz w:val="18"/>
        </w:rPr>
        <w:t> </w:t>
      </w:r>
      <w:r>
        <w:rPr>
          <w:color w:val="231F20"/>
          <w:w w:val="105"/>
          <w:sz w:val="18"/>
        </w:rPr>
        <w:t>the</w:t>
      </w:r>
      <w:r>
        <w:rPr>
          <w:color w:val="231F20"/>
          <w:spacing w:val="-11"/>
          <w:w w:val="105"/>
          <w:sz w:val="18"/>
        </w:rPr>
        <w:t> </w:t>
      </w:r>
      <w:r>
        <w:rPr>
          <w:color w:val="231F20"/>
          <w:w w:val="105"/>
          <w:sz w:val="18"/>
        </w:rPr>
        <w:t>share</w:t>
      </w:r>
      <w:r>
        <w:rPr>
          <w:color w:val="231F20"/>
          <w:spacing w:val="-10"/>
          <w:w w:val="105"/>
          <w:sz w:val="18"/>
        </w:rPr>
        <w:t> </w:t>
      </w:r>
      <w:r>
        <w:rPr>
          <w:color w:val="231F20"/>
          <w:w w:val="105"/>
          <w:sz w:val="18"/>
        </w:rPr>
        <w:t>capital</w:t>
      </w:r>
      <w:r>
        <w:rPr>
          <w:color w:val="231F20"/>
          <w:spacing w:val="-10"/>
          <w:w w:val="105"/>
          <w:sz w:val="18"/>
        </w:rPr>
        <w:t> </w:t>
      </w:r>
      <w:r>
        <w:rPr>
          <w:color w:val="231F20"/>
          <w:w w:val="105"/>
          <w:sz w:val="18"/>
        </w:rPr>
        <w:t>as</w:t>
      </w:r>
      <w:r>
        <w:rPr>
          <w:color w:val="231F20"/>
          <w:spacing w:val="-10"/>
          <w:w w:val="105"/>
          <w:sz w:val="18"/>
        </w:rPr>
        <w:t> </w:t>
      </w:r>
      <w:r>
        <w:rPr>
          <w:color w:val="231F20"/>
          <w:w w:val="105"/>
          <w:sz w:val="18"/>
        </w:rPr>
        <w:t>recorded</w:t>
      </w:r>
      <w:r>
        <w:rPr>
          <w:color w:val="231F20"/>
          <w:spacing w:val="-10"/>
          <w:w w:val="105"/>
          <w:sz w:val="18"/>
        </w:rPr>
        <w:t> </w:t>
      </w:r>
      <w:r>
        <w:rPr>
          <w:color w:val="231F20"/>
          <w:w w:val="105"/>
          <w:sz w:val="18"/>
        </w:rPr>
        <w:t>in</w:t>
      </w:r>
      <w:r>
        <w:rPr>
          <w:color w:val="231F20"/>
          <w:spacing w:val="-10"/>
          <w:w w:val="105"/>
          <w:sz w:val="18"/>
        </w:rPr>
        <w:t> </w:t>
      </w:r>
      <w:r>
        <w:rPr>
          <w:color w:val="231F20"/>
          <w:w w:val="105"/>
          <w:sz w:val="18"/>
        </w:rPr>
        <w:t>the commercial register. This limitation on registration also applies to persons who hold some or all of their shares through nominees pursuant to this article. All of the foregoing</w:t>
      </w:r>
      <w:r>
        <w:rPr>
          <w:color w:val="231F20"/>
          <w:spacing w:val="-12"/>
          <w:w w:val="105"/>
          <w:sz w:val="18"/>
        </w:rPr>
        <w:t> </w:t>
      </w:r>
      <w:r>
        <w:rPr>
          <w:color w:val="231F20"/>
          <w:w w:val="105"/>
          <w:sz w:val="18"/>
        </w:rPr>
        <w:t>does</w:t>
      </w:r>
      <w:r>
        <w:rPr>
          <w:color w:val="231F20"/>
          <w:spacing w:val="-12"/>
          <w:w w:val="105"/>
          <w:sz w:val="18"/>
        </w:rPr>
        <w:t> </w:t>
      </w:r>
      <w:r>
        <w:rPr>
          <w:color w:val="231F20"/>
          <w:w w:val="105"/>
          <w:sz w:val="18"/>
        </w:rPr>
        <w:t>not</w:t>
      </w:r>
      <w:r>
        <w:rPr>
          <w:color w:val="231F20"/>
          <w:spacing w:val="-11"/>
          <w:w w:val="105"/>
          <w:sz w:val="18"/>
        </w:rPr>
        <w:t> </w:t>
      </w:r>
      <w:r>
        <w:rPr>
          <w:color w:val="231F20"/>
          <w:w w:val="105"/>
          <w:sz w:val="18"/>
        </w:rPr>
        <w:t>apply</w:t>
      </w:r>
      <w:r>
        <w:rPr>
          <w:color w:val="231F20"/>
          <w:spacing w:val="-12"/>
          <w:w w:val="105"/>
          <w:sz w:val="18"/>
        </w:rPr>
        <w:t> </w:t>
      </w:r>
      <w:r>
        <w:rPr>
          <w:color w:val="231F20"/>
          <w:w w:val="105"/>
          <w:sz w:val="18"/>
        </w:rPr>
        <w:t>in</w:t>
      </w:r>
      <w:r>
        <w:rPr>
          <w:color w:val="231F20"/>
          <w:spacing w:val="-11"/>
          <w:w w:val="105"/>
          <w:sz w:val="18"/>
        </w:rPr>
        <w:t> </w:t>
      </w:r>
      <w:r>
        <w:rPr>
          <w:color w:val="231F20"/>
          <w:w w:val="105"/>
          <w:sz w:val="18"/>
        </w:rPr>
        <w:t>the</w:t>
      </w:r>
      <w:r>
        <w:rPr>
          <w:color w:val="231F20"/>
          <w:spacing w:val="-12"/>
          <w:w w:val="105"/>
          <w:sz w:val="18"/>
        </w:rPr>
        <w:t> </w:t>
      </w:r>
      <w:r>
        <w:rPr>
          <w:color w:val="231F20"/>
          <w:w w:val="105"/>
          <w:sz w:val="18"/>
        </w:rPr>
        <w:t>case</w:t>
      </w:r>
      <w:r>
        <w:rPr>
          <w:color w:val="231F20"/>
          <w:spacing w:val="-11"/>
          <w:w w:val="105"/>
          <w:sz w:val="18"/>
        </w:rPr>
        <w:t> </w:t>
      </w:r>
      <w:r>
        <w:rPr>
          <w:color w:val="231F20"/>
          <w:w w:val="105"/>
          <w:sz w:val="18"/>
        </w:rPr>
        <w:t>of</w:t>
      </w:r>
      <w:r>
        <w:rPr>
          <w:color w:val="231F20"/>
          <w:spacing w:val="-12"/>
          <w:w w:val="105"/>
          <w:sz w:val="18"/>
        </w:rPr>
        <w:t> </w:t>
      </w:r>
      <w:r>
        <w:rPr>
          <w:color w:val="231F20"/>
          <w:w w:val="105"/>
          <w:sz w:val="18"/>
        </w:rPr>
        <w:t>the</w:t>
      </w:r>
      <w:r>
        <w:rPr>
          <w:color w:val="231F20"/>
          <w:spacing w:val="-11"/>
          <w:w w:val="105"/>
          <w:sz w:val="18"/>
        </w:rPr>
        <w:t> </w:t>
      </w:r>
      <w:r>
        <w:rPr>
          <w:color w:val="231F20"/>
          <w:w w:val="105"/>
          <w:sz w:val="18"/>
        </w:rPr>
        <w:t>acquisition</w:t>
      </w:r>
      <w:r>
        <w:rPr>
          <w:color w:val="231F20"/>
          <w:spacing w:val="-12"/>
          <w:w w:val="105"/>
          <w:sz w:val="18"/>
        </w:rPr>
        <w:t> </w:t>
      </w:r>
      <w:r>
        <w:rPr>
          <w:color w:val="231F20"/>
          <w:w w:val="105"/>
          <w:sz w:val="18"/>
        </w:rPr>
        <w:t>of an</w:t>
      </w:r>
      <w:r>
        <w:rPr>
          <w:color w:val="231F20"/>
          <w:spacing w:val="-21"/>
          <w:w w:val="105"/>
          <w:sz w:val="18"/>
        </w:rPr>
        <w:t> </w:t>
      </w:r>
      <w:r>
        <w:rPr>
          <w:color w:val="231F20"/>
          <w:w w:val="105"/>
          <w:sz w:val="18"/>
        </w:rPr>
        <w:t>enterprise,</w:t>
      </w:r>
      <w:r>
        <w:rPr>
          <w:color w:val="231F20"/>
          <w:spacing w:val="-20"/>
          <w:w w:val="105"/>
          <w:sz w:val="18"/>
        </w:rPr>
        <w:t> </w:t>
      </w:r>
      <w:r>
        <w:rPr>
          <w:color w:val="231F20"/>
          <w:w w:val="105"/>
          <w:sz w:val="18"/>
        </w:rPr>
        <w:t>or</w:t>
      </w:r>
      <w:r>
        <w:rPr>
          <w:color w:val="231F20"/>
          <w:spacing w:val="-21"/>
          <w:w w:val="105"/>
          <w:sz w:val="18"/>
        </w:rPr>
        <w:t> </w:t>
      </w:r>
      <w:r>
        <w:rPr>
          <w:color w:val="231F20"/>
          <w:spacing w:val="2"/>
          <w:w w:val="105"/>
          <w:sz w:val="18"/>
        </w:rPr>
        <w:t>parts</w:t>
      </w:r>
      <w:r>
        <w:rPr>
          <w:color w:val="231F20"/>
          <w:spacing w:val="-20"/>
          <w:w w:val="105"/>
          <w:sz w:val="18"/>
        </w:rPr>
        <w:t> </w:t>
      </w:r>
      <w:r>
        <w:rPr>
          <w:color w:val="231F20"/>
          <w:w w:val="105"/>
          <w:sz w:val="18"/>
        </w:rPr>
        <w:t>of</w:t>
      </w:r>
      <w:r>
        <w:rPr>
          <w:color w:val="231F20"/>
          <w:spacing w:val="-21"/>
          <w:w w:val="105"/>
          <w:sz w:val="18"/>
        </w:rPr>
        <w:t> </w:t>
      </w:r>
      <w:r>
        <w:rPr>
          <w:color w:val="231F20"/>
          <w:w w:val="105"/>
          <w:sz w:val="18"/>
        </w:rPr>
        <w:t>an</w:t>
      </w:r>
      <w:r>
        <w:rPr>
          <w:color w:val="231F20"/>
          <w:spacing w:val="-20"/>
          <w:w w:val="105"/>
          <w:sz w:val="18"/>
        </w:rPr>
        <w:t> </w:t>
      </w:r>
      <w:r>
        <w:rPr>
          <w:color w:val="231F20"/>
          <w:w w:val="105"/>
          <w:sz w:val="18"/>
        </w:rPr>
        <w:t>enterprise</w:t>
      </w:r>
      <w:r>
        <w:rPr>
          <w:color w:val="231F20"/>
          <w:spacing w:val="-21"/>
          <w:w w:val="105"/>
          <w:sz w:val="18"/>
        </w:rPr>
        <w:t> </w:t>
      </w:r>
      <w:r>
        <w:rPr>
          <w:color w:val="231F20"/>
          <w:w w:val="105"/>
          <w:sz w:val="18"/>
        </w:rPr>
        <w:t>or</w:t>
      </w:r>
      <w:r>
        <w:rPr>
          <w:color w:val="231F20"/>
          <w:spacing w:val="-20"/>
          <w:w w:val="105"/>
          <w:sz w:val="18"/>
        </w:rPr>
        <w:t> </w:t>
      </w:r>
      <w:r>
        <w:rPr>
          <w:color w:val="231F20"/>
          <w:w w:val="105"/>
          <w:sz w:val="18"/>
        </w:rPr>
        <w:t>participations</w:t>
      </w:r>
    </w:p>
    <w:p>
      <w:pPr>
        <w:pStyle w:val="BodyText"/>
        <w:spacing w:line="276" w:lineRule="auto" w:before="106"/>
        <w:ind w:left="432" w:right="580"/>
      </w:pPr>
      <w:r>
        <w:rPr/>
        <w:br w:type="column"/>
      </w:r>
      <w:r>
        <w:rPr>
          <w:color w:val="231F20"/>
        </w:rPr>
        <w:t>through exchange of shares or in the cases provided in</w:t>
      </w:r>
      <w:r>
        <w:rPr>
          <w:color w:val="231F20"/>
          <w:spacing w:val="9"/>
        </w:rPr>
        <w:t> </w:t>
      </w:r>
      <w:r>
        <w:rPr>
          <w:color w:val="231F20"/>
        </w:rPr>
        <w:t>art.</w:t>
      </w:r>
      <w:r>
        <w:rPr>
          <w:color w:val="231F20"/>
          <w:spacing w:val="9"/>
        </w:rPr>
        <w:t> </w:t>
      </w:r>
      <w:r>
        <w:rPr>
          <w:color w:val="231F20"/>
        </w:rPr>
        <w:t>685d</w:t>
      </w:r>
      <w:r>
        <w:rPr>
          <w:color w:val="231F20"/>
          <w:spacing w:val="9"/>
        </w:rPr>
        <w:t> </w:t>
      </w:r>
      <w:r>
        <w:rPr>
          <w:color w:val="231F20"/>
          <w:spacing w:val="-3"/>
        </w:rPr>
        <w:t>par.</w:t>
      </w:r>
      <w:r>
        <w:rPr>
          <w:color w:val="231F20"/>
          <w:spacing w:val="9"/>
        </w:rPr>
        <w:t> </w:t>
      </w:r>
      <w:r>
        <w:rPr>
          <w:color w:val="231F20"/>
        </w:rPr>
        <w:t>3</w:t>
      </w:r>
      <w:r>
        <w:rPr>
          <w:color w:val="231F20"/>
          <w:spacing w:val="9"/>
        </w:rPr>
        <w:t> </w:t>
      </w:r>
      <w:r>
        <w:rPr>
          <w:color w:val="231F20"/>
        </w:rPr>
        <w:t>of</w:t>
      </w:r>
      <w:r>
        <w:rPr>
          <w:color w:val="231F20"/>
          <w:spacing w:val="9"/>
        </w:rPr>
        <w:t> </w:t>
      </w:r>
      <w:r>
        <w:rPr>
          <w:color w:val="231F20"/>
        </w:rPr>
        <w:t>the</w:t>
      </w:r>
      <w:r>
        <w:rPr>
          <w:color w:val="231F20"/>
          <w:spacing w:val="10"/>
        </w:rPr>
        <w:t> </w:t>
      </w:r>
      <w:r>
        <w:rPr>
          <w:color w:val="231F20"/>
        </w:rPr>
        <w:t>Swiss</w:t>
      </w:r>
      <w:r>
        <w:rPr>
          <w:color w:val="231F20"/>
          <w:spacing w:val="9"/>
        </w:rPr>
        <w:t> </w:t>
      </w:r>
      <w:r>
        <w:rPr>
          <w:color w:val="231F20"/>
        </w:rPr>
        <w:t>Code</w:t>
      </w:r>
      <w:r>
        <w:rPr>
          <w:color w:val="231F20"/>
          <w:spacing w:val="9"/>
        </w:rPr>
        <w:t> </w:t>
      </w:r>
      <w:r>
        <w:rPr>
          <w:color w:val="231F20"/>
        </w:rPr>
        <w:t>of</w:t>
      </w:r>
      <w:r>
        <w:rPr>
          <w:color w:val="231F20"/>
          <w:spacing w:val="9"/>
        </w:rPr>
        <w:t> </w:t>
      </w:r>
      <w:r>
        <w:rPr>
          <w:color w:val="231F20"/>
        </w:rPr>
        <w:t>Obligations.</w:t>
      </w:r>
    </w:p>
    <w:p>
      <w:pPr>
        <w:pStyle w:val="ListParagraph"/>
        <w:numPr>
          <w:ilvl w:val="0"/>
          <w:numId w:val="31"/>
        </w:numPr>
        <w:tabs>
          <w:tab w:pos="433" w:val="left" w:leader="none"/>
        </w:tabs>
        <w:spacing w:line="276" w:lineRule="auto" w:before="0" w:after="0"/>
        <w:ind w:left="432" w:right="334" w:hanging="226"/>
        <w:jc w:val="left"/>
        <w:rPr>
          <w:sz w:val="18"/>
        </w:rPr>
      </w:pPr>
      <w:r>
        <w:rPr>
          <w:color w:val="231F20"/>
          <w:sz w:val="18"/>
        </w:rPr>
        <w:t>The Board of Directors shall promulgate regulations relating to the registration of fiduciaries or nominees to ensure</w:t>
      </w:r>
      <w:r>
        <w:rPr>
          <w:color w:val="231F20"/>
          <w:spacing w:val="17"/>
          <w:sz w:val="18"/>
        </w:rPr>
        <w:t> </w:t>
      </w:r>
      <w:r>
        <w:rPr>
          <w:color w:val="231F20"/>
          <w:sz w:val="18"/>
        </w:rPr>
        <w:t>compliance</w:t>
      </w:r>
      <w:r>
        <w:rPr>
          <w:color w:val="231F20"/>
          <w:spacing w:val="17"/>
          <w:sz w:val="18"/>
        </w:rPr>
        <w:t> </w:t>
      </w:r>
      <w:r>
        <w:rPr>
          <w:color w:val="231F20"/>
          <w:sz w:val="18"/>
        </w:rPr>
        <w:t>with</w:t>
      </w:r>
      <w:r>
        <w:rPr>
          <w:color w:val="231F20"/>
          <w:spacing w:val="17"/>
          <w:sz w:val="18"/>
        </w:rPr>
        <w:t> </w:t>
      </w:r>
      <w:r>
        <w:rPr>
          <w:color w:val="231F20"/>
          <w:sz w:val="18"/>
        </w:rPr>
        <w:t>these</w:t>
      </w:r>
      <w:r>
        <w:rPr>
          <w:color w:val="231F20"/>
          <w:spacing w:val="17"/>
          <w:sz w:val="18"/>
        </w:rPr>
        <w:t> </w:t>
      </w:r>
      <w:r>
        <w:rPr>
          <w:color w:val="231F20"/>
          <w:sz w:val="18"/>
        </w:rPr>
        <w:t>Articles</w:t>
      </w:r>
      <w:r>
        <w:rPr>
          <w:color w:val="231F20"/>
          <w:spacing w:val="18"/>
          <w:sz w:val="18"/>
        </w:rPr>
        <w:t> </w:t>
      </w:r>
      <w:r>
        <w:rPr>
          <w:color w:val="231F20"/>
          <w:sz w:val="18"/>
        </w:rPr>
        <w:t>of</w:t>
      </w:r>
      <w:r>
        <w:rPr>
          <w:color w:val="231F20"/>
          <w:spacing w:val="17"/>
          <w:sz w:val="18"/>
        </w:rPr>
        <w:t> </w:t>
      </w:r>
      <w:r>
        <w:rPr>
          <w:color w:val="231F20"/>
          <w:sz w:val="18"/>
        </w:rPr>
        <w:t>Association.</w:t>
      </w:r>
    </w:p>
    <w:p>
      <w:pPr>
        <w:pStyle w:val="ListParagraph"/>
        <w:numPr>
          <w:ilvl w:val="0"/>
          <w:numId w:val="31"/>
        </w:numPr>
        <w:tabs>
          <w:tab w:pos="433" w:val="left" w:leader="none"/>
        </w:tabs>
        <w:spacing w:line="276" w:lineRule="auto" w:before="0" w:after="0"/>
        <w:ind w:left="432" w:right="110" w:hanging="226"/>
        <w:jc w:val="left"/>
        <w:rPr>
          <w:sz w:val="18"/>
        </w:rPr>
      </w:pPr>
      <w:r>
        <w:rPr>
          <w:color w:val="231F20"/>
          <w:w w:val="105"/>
          <w:sz w:val="18"/>
        </w:rPr>
        <w:t>Legal entities that are linked to one another through capital, voting rights, management or in any other manner, as well as all natural persons or legal entities achieving an understanding or forming a syndicate or otherwise</w:t>
      </w:r>
      <w:r>
        <w:rPr>
          <w:color w:val="231F20"/>
          <w:spacing w:val="-19"/>
          <w:w w:val="105"/>
          <w:sz w:val="18"/>
        </w:rPr>
        <w:t> </w:t>
      </w:r>
      <w:r>
        <w:rPr>
          <w:color w:val="231F20"/>
          <w:w w:val="105"/>
          <w:sz w:val="18"/>
        </w:rPr>
        <w:t>acting</w:t>
      </w:r>
      <w:r>
        <w:rPr>
          <w:color w:val="231F20"/>
          <w:spacing w:val="-18"/>
          <w:w w:val="105"/>
          <w:sz w:val="18"/>
        </w:rPr>
        <w:t> </w:t>
      </w:r>
      <w:r>
        <w:rPr>
          <w:color w:val="231F20"/>
          <w:w w:val="105"/>
          <w:sz w:val="18"/>
        </w:rPr>
        <w:t>in</w:t>
      </w:r>
      <w:r>
        <w:rPr>
          <w:color w:val="231F20"/>
          <w:spacing w:val="-18"/>
          <w:w w:val="105"/>
          <w:sz w:val="18"/>
        </w:rPr>
        <w:t> </w:t>
      </w:r>
      <w:r>
        <w:rPr>
          <w:color w:val="231F20"/>
          <w:spacing w:val="2"/>
          <w:w w:val="105"/>
          <w:sz w:val="18"/>
        </w:rPr>
        <w:t>concert</w:t>
      </w:r>
      <w:r>
        <w:rPr>
          <w:color w:val="231F20"/>
          <w:spacing w:val="-18"/>
          <w:w w:val="105"/>
          <w:sz w:val="18"/>
        </w:rPr>
        <w:t> </w:t>
      </w:r>
      <w:r>
        <w:rPr>
          <w:color w:val="231F20"/>
          <w:w w:val="105"/>
          <w:sz w:val="18"/>
        </w:rPr>
        <w:t>to</w:t>
      </w:r>
      <w:r>
        <w:rPr>
          <w:color w:val="231F20"/>
          <w:spacing w:val="-18"/>
          <w:w w:val="105"/>
          <w:sz w:val="18"/>
        </w:rPr>
        <w:t> </w:t>
      </w:r>
      <w:r>
        <w:rPr>
          <w:color w:val="231F20"/>
          <w:w w:val="105"/>
          <w:sz w:val="18"/>
        </w:rPr>
        <w:t>circumvent</w:t>
      </w:r>
      <w:r>
        <w:rPr>
          <w:color w:val="231F20"/>
          <w:spacing w:val="-18"/>
          <w:w w:val="105"/>
          <w:sz w:val="18"/>
        </w:rPr>
        <w:t> </w:t>
      </w:r>
      <w:r>
        <w:rPr>
          <w:color w:val="231F20"/>
          <w:w w:val="105"/>
          <w:sz w:val="18"/>
        </w:rPr>
        <w:t>the</w:t>
      </w:r>
      <w:r>
        <w:rPr>
          <w:color w:val="231F20"/>
          <w:spacing w:val="-18"/>
          <w:w w:val="105"/>
          <w:sz w:val="18"/>
        </w:rPr>
        <w:t> </w:t>
      </w:r>
      <w:r>
        <w:rPr>
          <w:color w:val="231F20"/>
          <w:w w:val="105"/>
          <w:sz w:val="18"/>
        </w:rPr>
        <w:t>regulations concerning</w:t>
      </w:r>
      <w:r>
        <w:rPr>
          <w:color w:val="231F20"/>
          <w:spacing w:val="-22"/>
          <w:w w:val="105"/>
          <w:sz w:val="18"/>
        </w:rPr>
        <w:t> </w:t>
      </w:r>
      <w:r>
        <w:rPr>
          <w:color w:val="231F20"/>
          <w:w w:val="105"/>
          <w:sz w:val="18"/>
        </w:rPr>
        <w:t>the</w:t>
      </w:r>
      <w:r>
        <w:rPr>
          <w:color w:val="231F20"/>
          <w:spacing w:val="-21"/>
          <w:w w:val="105"/>
          <w:sz w:val="18"/>
        </w:rPr>
        <w:t> </w:t>
      </w:r>
      <w:r>
        <w:rPr>
          <w:color w:val="231F20"/>
          <w:w w:val="105"/>
          <w:sz w:val="18"/>
        </w:rPr>
        <w:t>limitation</w:t>
      </w:r>
      <w:r>
        <w:rPr>
          <w:color w:val="231F20"/>
          <w:spacing w:val="-21"/>
          <w:w w:val="105"/>
          <w:sz w:val="18"/>
        </w:rPr>
        <w:t> </w:t>
      </w:r>
      <w:r>
        <w:rPr>
          <w:color w:val="231F20"/>
          <w:w w:val="105"/>
          <w:sz w:val="18"/>
        </w:rPr>
        <w:t>on</w:t>
      </w:r>
      <w:r>
        <w:rPr>
          <w:color w:val="231F20"/>
          <w:spacing w:val="-21"/>
          <w:w w:val="105"/>
          <w:sz w:val="18"/>
        </w:rPr>
        <w:t> </w:t>
      </w:r>
      <w:r>
        <w:rPr>
          <w:color w:val="231F20"/>
          <w:w w:val="105"/>
          <w:sz w:val="18"/>
        </w:rPr>
        <w:t>registration</w:t>
      </w:r>
      <w:r>
        <w:rPr>
          <w:color w:val="231F20"/>
          <w:spacing w:val="-21"/>
          <w:w w:val="105"/>
          <w:sz w:val="18"/>
        </w:rPr>
        <w:t> </w:t>
      </w:r>
      <w:r>
        <w:rPr>
          <w:color w:val="231F20"/>
          <w:w w:val="105"/>
          <w:sz w:val="18"/>
        </w:rPr>
        <w:t>or</w:t>
      </w:r>
      <w:r>
        <w:rPr>
          <w:color w:val="231F20"/>
          <w:spacing w:val="-21"/>
          <w:w w:val="105"/>
          <w:sz w:val="18"/>
        </w:rPr>
        <w:t> </w:t>
      </w:r>
      <w:r>
        <w:rPr>
          <w:color w:val="231F20"/>
          <w:w w:val="105"/>
          <w:sz w:val="18"/>
        </w:rPr>
        <w:t>the</w:t>
      </w:r>
      <w:r>
        <w:rPr>
          <w:color w:val="231F20"/>
          <w:spacing w:val="-21"/>
          <w:w w:val="105"/>
          <w:sz w:val="18"/>
        </w:rPr>
        <w:t> </w:t>
      </w:r>
      <w:r>
        <w:rPr>
          <w:color w:val="231F20"/>
          <w:w w:val="105"/>
          <w:sz w:val="18"/>
        </w:rPr>
        <w:t>nominees, shall be counted as one person or nominee within the meaning</w:t>
      </w:r>
      <w:r>
        <w:rPr>
          <w:color w:val="231F20"/>
          <w:spacing w:val="-8"/>
          <w:w w:val="105"/>
          <w:sz w:val="18"/>
        </w:rPr>
        <w:t> </w:t>
      </w:r>
      <w:r>
        <w:rPr>
          <w:color w:val="231F20"/>
          <w:w w:val="105"/>
          <w:sz w:val="18"/>
        </w:rPr>
        <w:t>of</w:t>
      </w:r>
      <w:r>
        <w:rPr>
          <w:color w:val="231F20"/>
          <w:spacing w:val="-8"/>
          <w:w w:val="105"/>
          <w:sz w:val="18"/>
        </w:rPr>
        <w:t> </w:t>
      </w:r>
      <w:r>
        <w:rPr>
          <w:color w:val="231F20"/>
          <w:w w:val="105"/>
          <w:sz w:val="18"/>
        </w:rPr>
        <w:t>paragraphs</w:t>
      </w:r>
      <w:r>
        <w:rPr>
          <w:color w:val="231F20"/>
          <w:spacing w:val="-8"/>
          <w:w w:val="105"/>
          <w:sz w:val="18"/>
        </w:rPr>
        <w:t> </w:t>
      </w:r>
      <w:r>
        <w:rPr>
          <w:color w:val="231F20"/>
          <w:w w:val="105"/>
          <w:sz w:val="18"/>
        </w:rPr>
        <w:t>4</w:t>
      </w:r>
      <w:r>
        <w:rPr>
          <w:color w:val="231F20"/>
          <w:spacing w:val="-8"/>
          <w:w w:val="105"/>
          <w:sz w:val="18"/>
        </w:rPr>
        <w:t> </w:t>
      </w:r>
      <w:r>
        <w:rPr>
          <w:color w:val="231F20"/>
          <w:w w:val="105"/>
          <w:sz w:val="18"/>
        </w:rPr>
        <w:t>and</w:t>
      </w:r>
      <w:r>
        <w:rPr>
          <w:color w:val="231F20"/>
          <w:spacing w:val="-7"/>
          <w:w w:val="105"/>
          <w:sz w:val="18"/>
        </w:rPr>
        <w:t> </w:t>
      </w:r>
      <w:r>
        <w:rPr>
          <w:color w:val="231F20"/>
          <w:w w:val="105"/>
          <w:sz w:val="18"/>
        </w:rPr>
        <w:t>5</w:t>
      </w:r>
      <w:r>
        <w:rPr>
          <w:color w:val="231F20"/>
          <w:spacing w:val="-8"/>
          <w:w w:val="105"/>
          <w:sz w:val="18"/>
        </w:rPr>
        <w:t> </w:t>
      </w:r>
      <w:r>
        <w:rPr>
          <w:color w:val="231F20"/>
          <w:w w:val="105"/>
          <w:sz w:val="18"/>
        </w:rPr>
        <w:t>of</w:t>
      </w:r>
      <w:r>
        <w:rPr>
          <w:color w:val="231F20"/>
          <w:spacing w:val="-8"/>
          <w:w w:val="105"/>
          <w:sz w:val="18"/>
        </w:rPr>
        <w:t> </w:t>
      </w:r>
      <w:r>
        <w:rPr>
          <w:color w:val="231F20"/>
          <w:w w:val="105"/>
          <w:sz w:val="18"/>
        </w:rPr>
        <w:t>this</w:t>
      </w:r>
      <w:r>
        <w:rPr>
          <w:color w:val="231F20"/>
          <w:spacing w:val="-8"/>
          <w:w w:val="105"/>
          <w:sz w:val="18"/>
        </w:rPr>
        <w:t> </w:t>
      </w:r>
      <w:r>
        <w:rPr>
          <w:color w:val="231F20"/>
          <w:w w:val="105"/>
          <w:sz w:val="18"/>
        </w:rPr>
        <w:t>article.</w:t>
      </w:r>
    </w:p>
    <w:p>
      <w:pPr>
        <w:pStyle w:val="ListParagraph"/>
        <w:numPr>
          <w:ilvl w:val="0"/>
          <w:numId w:val="31"/>
        </w:numPr>
        <w:tabs>
          <w:tab w:pos="433" w:val="left" w:leader="none"/>
        </w:tabs>
        <w:spacing w:line="276" w:lineRule="auto" w:before="0" w:after="0"/>
        <w:ind w:left="432" w:right="205" w:hanging="226"/>
        <w:jc w:val="left"/>
        <w:rPr>
          <w:sz w:val="18"/>
        </w:rPr>
      </w:pPr>
      <w:r>
        <w:rPr>
          <w:color w:val="231F20"/>
          <w:sz w:val="18"/>
        </w:rPr>
        <w:t>After hearing the registered shareholder or nominee, the Board of Directors may cancel, with retroactive effect as of the date of registration, the registration of such shareholder or nominee if the registration was effected based on false information. The respective shareholder  or nominee shall be informed immediately of the cancellation of the</w:t>
      </w:r>
      <w:r>
        <w:rPr>
          <w:color w:val="231F20"/>
          <w:spacing w:val="-10"/>
          <w:sz w:val="18"/>
        </w:rPr>
        <w:t> </w:t>
      </w:r>
      <w:r>
        <w:rPr>
          <w:color w:val="231F20"/>
          <w:sz w:val="18"/>
        </w:rPr>
        <w:t>registration.</w:t>
      </w:r>
    </w:p>
    <w:p>
      <w:pPr>
        <w:pStyle w:val="ListParagraph"/>
        <w:numPr>
          <w:ilvl w:val="0"/>
          <w:numId w:val="31"/>
        </w:numPr>
        <w:tabs>
          <w:tab w:pos="433" w:val="left" w:leader="none"/>
        </w:tabs>
        <w:spacing w:line="276" w:lineRule="auto" w:before="0" w:after="0"/>
        <w:ind w:left="432" w:right="195" w:hanging="226"/>
        <w:jc w:val="left"/>
        <w:rPr>
          <w:sz w:val="18"/>
        </w:rPr>
      </w:pPr>
      <w:r>
        <w:rPr>
          <w:color w:val="231F20"/>
          <w:sz w:val="18"/>
        </w:rPr>
        <w:t>The Board of Directors shall specify the details and promulgate the necessary regulations concerning the application of this art. 5. Such regulations shall specify the cases in which the Board or a corporate body designated by the Board may allow exemptions from the limitation on registration or the regulation concerning nominees.</w:t>
      </w:r>
    </w:p>
    <w:p>
      <w:pPr>
        <w:pStyle w:val="ListParagraph"/>
        <w:numPr>
          <w:ilvl w:val="0"/>
          <w:numId w:val="31"/>
        </w:numPr>
        <w:tabs>
          <w:tab w:pos="433" w:val="left" w:leader="none"/>
        </w:tabs>
        <w:spacing w:line="276" w:lineRule="auto" w:before="0" w:after="0"/>
        <w:ind w:left="432" w:right="302" w:hanging="226"/>
        <w:jc w:val="both"/>
        <w:rPr>
          <w:sz w:val="18"/>
        </w:rPr>
      </w:pPr>
      <w:r>
        <w:rPr>
          <w:color w:val="231F20"/>
          <w:sz w:val="18"/>
        </w:rPr>
        <w:t>The limitation on registration provided for in this article shall also apply to shares acquired or subscribed by the exercise of subscription, option or conversion</w:t>
      </w:r>
      <w:r>
        <w:rPr>
          <w:color w:val="231F20"/>
          <w:spacing w:val="47"/>
          <w:sz w:val="18"/>
        </w:rPr>
        <w:t> </w:t>
      </w:r>
      <w:r>
        <w:rPr>
          <w:color w:val="231F20"/>
          <w:sz w:val="18"/>
        </w:rPr>
        <w:t>rights.</w:t>
      </w:r>
    </w:p>
    <w:p>
      <w:pPr>
        <w:pStyle w:val="BodyText"/>
        <w:spacing w:before="9"/>
        <w:rPr>
          <w:sz w:val="19"/>
        </w:rPr>
      </w:pPr>
    </w:p>
    <w:p>
      <w:pPr>
        <w:pStyle w:val="Heading3"/>
        <w:numPr>
          <w:ilvl w:val="0"/>
          <w:numId w:val="25"/>
        </w:numPr>
        <w:tabs>
          <w:tab w:pos="497" w:val="left" w:leader="none"/>
        </w:tabs>
        <w:spacing w:line="240" w:lineRule="auto" w:before="0" w:after="0"/>
        <w:ind w:left="496" w:right="0" w:hanging="290"/>
        <w:jc w:val="left"/>
      </w:pPr>
      <w:r>
        <w:rPr>
          <w:color w:val="231F20"/>
          <w:w w:val="110"/>
        </w:rPr>
        <w:t>Organisation of</w:t>
      </w:r>
      <w:r>
        <w:rPr>
          <w:color w:val="231F20"/>
          <w:spacing w:val="-14"/>
          <w:w w:val="110"/>
        </w:rPr>
        <w:t> </w:t>
      </w:r>
      <w:r>
        <w:rPr>
          <w:color w:val="231F20"/>
          <w:w w:val="110"/>
        </w:rPr>
        <w:t>Nestlé</w:t>
      </w:r>
    </w:p>
    <w:p>
      <w:pPr>
        <w:pStyle w:val="ListParagraph"/>
        <w:numPr>
          <w:ilvl w:val="0"/>
          <w:numId w:val="32"/>
        </w:numPr>
        <w:tabs>
          <w:tab w:pos="438" w:val="left" w:leader="none"/>
        </w:tabs>
        <w:spacing w:line="276" w:lineRule="auto" w:before="31" w:after="0"/>
        <w:ind w:left="206" w:right="3533" w:firstLine="0"/>
        <w:jc w:val="left"/>
        <w:rPr>
          <w:sz w:val="18"/>
        </w:rPr>
      </w:pPr>
      <w:r>
        <w:rPr>
          <w:color w:val="586670"/>
          <w:w w:val="105"/>
          <w:sz w:val="18"/>
        </w:rPr>
        <w:t>General Meeting</w:t>
      </w:r>
      <w:r>
        <w:rPr>
          <w:color w:val="231F20"/>
          <w:w w:val="105"/>
          <w:sz w:val="18"/>
        </w:rPr>
        <w:t> Article</w:t>
      </w:r>
      <w:r>
        <w:rPr>
          <w:color w:val="231F20"/>
          <w:spacing w:val="-7"/>
          <w:w w:val="105"/>
          <w:sz w:val="18"/>
        </w:rPr>
        <w:t> </w:t>
      </w:r>
      <w:r>
        <w:rPr>
          <w:color w:val="231F20"/>
          <w:w w:val="105"/>
          <w:sz w:val="18"/>
        </w:rPr>
        <w:t>6</w:t>
      </w:r>
    </w:p>
    <w:p>
      <w:pPr>
        <w:pStyle w:val="Heading3"/>
        <w:spacing w:line="208" w:lineRule="exact"/>
        <w:ind w:left="206"/>
      </w:pPr>
      <w:r>
        <w:rPr>
          <w:color w:val="586670"/>
          <w:w w:val="110"/>
        </w:rPr>
        <w:t>Powers of the General Meeting</w:t>
      </w:r>
    </w:p>
    <w:p>
      <w:pPr>
        <w:pStyle w:val="ListParagraph"/>
        <w:numPr>
          <w:ilvl w:val="0"/>
          <w:numId w:val="33"/>
        </w:numPr>
        <w:tabs>
          <w:tab w:pos="433" w:val="left" w:leader="none"/>
        </w:tabs>
        <w:spacing w:line="276" w:lineRule="auto" w:before="31" w:after="0"/>
        <w:ind w:left="432" w:right="537" w:hanging="226"/>
        <w:jc w:val="left"/>
        <w:rPr>
          <w:sz w:val="18"/>
        </w:rPr>
      </w:pPr>
      <w:r>
        <w:rPr>
          <w:color w:val="231F20"/>
          <w:sz w:val="18"/>
        </w:rPr>
        <w:t>The General Meeting of shareholders is the supreme authority of</w:t>
      </w:r>
      <w:r>
        <w:rPr>
          <w:color w:val="231F20"/>
          <w:spacing w:val="-6"/>
          <w:sz w:val="18"/>
        </w:rPr>
        <w:t> </w:t>
      </w:r>
      <w:r>
        <w:rPr>
          <w:color w:val="231F20"/>
          <w:sz w:val="18"/>
        </w:rPr>
        <w:t>Nestlé.</w:t>
      </w:r>
    </w:p>
    <w:p>
      <w:pPr>
        <w:pStyle w:val="ListParagraph"/>
        <w:numPr>
          <w:ilvl w:val="0"/>
          <w:numId w:val="33"/>
        </w:numPr>
        <w:tabs>
          <w:tab w:pos="433" w:val="left" w:leader="none"/>
        </w:tabs>
        <w:spacing w:line="276" w:lineRule="auto" w:before="0" w:after="0"/>
        <w:ind w:left="432" w:right="609" w:hanging="226"/>
        <w:jc w:val="left"/>
        <w:rPr>
          <w:sz w:val="18"/>
        </w:rPr>
      </w:pPr>
      <w:r>
        <w:rPr>
          <w:color w:val="231F20"/>
          <w:sz w:val="18"/>
        </w:rPr>
        <w:t>The following powers shall be vested in the General Meeting:</w:t>
      </w:r>
    </w:p>
    <w:p>
      <w:pPr>
        <w:pStyle w:val="ListParagraph"/>
        <w:numPr>
          <w:ilvl w:val="0"/>
          <w:numId w:val="34"/>
        </w:numPr>
        <w:tabs>
          <w:tab w:pos="433" w:val="left" w:leader="none"/>
        </w:tabs>
        <w:spacing w:line="208" w:lineRule="exact" w:before="0" w:after="0"/>
        <w:ind w:left="432" w:right="0" w:hanging="226"/>
        <w:jc w:val="left"/>
        <w:rPr>
          <w:sz w:val="18"/>
        </w:rPr>
      </w:pPr>
      <w:r>
        <w:rPr>
          <w:color w:val="231F20"/>
          <w:sz w:val="18"/>
        </w:rPr>
        <w:t>to adopt and amend the Articles of</w:t>
      </w:r>
      <w:r>
        <w:rPr>
          <w:color w:val="231F20"/>
          <w:spacing w:val="15"/>
          <w:sz w:val="18"/>
        </w:rPr>
        <w:t> </w:t>
      </w:r>
      <w:r>
        <w:rPr>
          <w:color w:val="231F20"/>
          <w:sz w:val="18"/>
        </w:rPr>
        <w:t>Association;</w:t>
      </w:r>
    </w:p>
    <w:p>
      <w:pPr>
        <w:pStyle w:val="ListParagraph"/>
        <w:numPr>
          <w:ilvl w:val="0"/>
          <w:numId w:val="34"/>
        </w:numPr>
        <w:tabs>
          <w:tab w:pos="433" w:val="left" w:leader="none"/>
        </w:tabs>
        <w:spacing w:line="276" w:lineRule="auto" w:before="30" w:after="0"/>
        <w:ind w:left="432" w:right="793" w:hanging="226"/>
        <w:jc w:val="left"/>
        <w:rPr>
          <w:sz w:val="18"/>
        </w:rPr>
      </w:pPr>
      <w:r>
        <w:rPr>
          <w:color w:val="231F20"/>
          <w:sz w:val="18"/>
        </w:rPr>
        <w:t>to elect and remove the members of the Board of Directors and the Auditors of</w:t>
      </w:r>
      <w:r>
        <w:rPr>
          <w:color w:val="231F20"/>
          <w:spacing w:val="1"/>
          <w:sz w:val="18"/>
        </w:rPr>
        <w:t> </w:t>
      </w:r>
      <w:r>
        <w:rPr>
          <w:color w:val="231F20"/>
          <w:sz w:val="18"/>
        </w:rPr>
        <w:t>Nestlé;</w:t>
      </w:r>
    </w:p>
    <w:p>
      <w:pPr>
        <w:pStyle w:val="ListParagraph"/>
        <w:numPr>
          <w:ilvl w:val="0"/>
          <w:numId w:val="34"/>
        </w:numPr>
        <w:tabs>
          <w:tab w:pos="433" w:val="left" w:leader="none"/>
        </w:tabs>
        <w:spacing w:line="276" w:lineRule="auto" w:before="0" w:after="0"/>
        <w:ind w:left="432" w:right="744" w:hanging="226"/>
        <w:jc w:val="left"/>
        <w:rPr>
          <w:sz w:val="18"/>
        </w:rPr>
      </w:pPr>
      <w:r>
        <w:rPr>
          <w:color w:val="231F20"/>
          <w:sz w:val="18"/>
        </w:rPr>
        <w:t>to approve the annual report and the consolidated financial</w:t>
      </w:r>
      <w:r>
        <w:rPr>
          <w:color w:val="231F20"/>
          <w:spacing w:val="-3"/>
          <w:sz w:val="18"/>
        </w:rPr>
        <w:t> </w:t>
      </w:r>
      <w:r>
        <w:rPr>
          <w:color w:val="231F20"/>
          <w:sz w:val="18"/>
        </w:rPr>
        <w:t>statements;</w:t>
      </w:r>
    </w:p>
    <w:p>
      <w:pPr>
        <w:pStyle w:val="ListParagraph"/>
        <w:numPr>
          <w:ilvl w:val="0"/>
          <w:numId w:val="34"/>
        </w:numPr>
        <w:tabs>
          <w:tab w:pos="433" w:val="left" w:leader="none"/>
        </w:tabs>
        <w:spacing w:line="276" w:lineRule="auto" w:before="0" w:after="0"/>
        <w:ind w:left="432" w:right="199" w:hanging="226"/>
        <w:jc w:val="left"/>
        <w:rPr>
          <w:sz w:val="18"/>
        </w:rPr>
      </w:pPr>
      <w:r>
        <w:rPr>
          <w:color w:val="231F20"/>
          <w:sz w:val="18"/>
        </w:rPr>
        <w:t>to approve the annual financial statements as well as the resolution on the use of the balance sheet profit, in particular, the declaration of</w:t>
      </w:r>
      <w:r>
        <w:rPr>
          <w:color w:val="231F20"/>
          <w:spacing w:val="-13"/>
          <w:sz w:val="18"/>
        </w:rPr>
        <w:t> </w:t>
      </w:r>
      <w:r>
        <w:rPr>
          <w:color w:val="231F20"/>
          <w:sz w:val="18"/>
        </w:rPr>
        <w:t>dividends;</w:t>
      </w:r>
    </w:p>
    <w:p>
      <w:pPr>
        <w:pStyle w:val="ListParagraph"/>
        <w:numPr>
          <w:ilvl w:val="0"/>
          <w:numId w:val="34"/>
        </w:numPr>
        <w:tabs>
          <w:tab w:pos="433" w:val="left" w:leader="none"/>
        </w:tabs>
        <w:spacing w:line="276" w:lineRule="auto" w:before="0" w:after="0"/>
        <w:ind w:left="432" w:right="125" w:hanging="226"/>
        <w:jc w:val="left"/>
        <w:rPr>
          <w:sz w:val="18"/>
        </w:rPr>
      </w:pPr>
      <w:r>
        <w:rPr>
          <w:color w:val="231F20"/>
          <w:sz w:val="18"/>
        </w:rPr>
        <w:t>to grant release to the members of the Board of Directors and the persons entrusted with management;</w:t>
      </w:r>
      <w:r>
        <w:rPr>
          <w:color w:val="231F20"/>
          <w:spacing w:val="33"/>
          <w:sz w:val="18"/>
        </w:rPr>
        <w:t> </w:t>
      </w:r>
      <w:r>
        <w:rPr>
          <w:color w:val="231F20"/>
          <w:sz w:val="18"/>
        </w:rPr>
        <w:t>and</w:t>
      </w:r>
    </w:p>
    <w:p>
      <w:pPr>
        <w:spacing w:after="0" w:line="276" w:lineRule="auto"/>
        <w:jc w:val="left"/>
        <w:rPr>
          <w:sz w:val="18"/>
        </w:rPr>
        <w:sectPr>
          <w:type w:val="continuous"/>
          <w:pgSz w:w="11910" w:h="14750"/>
          <w:pgMar w:top="540" w:bottom="280" w:left="460" w:right="460"/>
          <w:cols w:num="2" w:equalWidth="0">
            <w:col w:w="5587" w:space="40"/>
            <w:col w:w="5363"/>
          </w:cols>
        </w:sectPr>
      </w:pPr>
    </w:p>
    <w:p>
      <w:pPr>
        <w:pStyle w:val="BodyText"/>
        <w:rPr>
          <w:sz w:val="20"/>
        </w:rPr>
      </w:pPr>
    </w:p>
    <w:p>
      <w:pPr>
        <w:pStyle w:val="BodyText"/>
        <w:rPr>
          <w:sz w:val="20"/>
        </w:rPr>
      </w:pPr>
    </w:p>
    <w:p>
      <w:pPr>
        <w:pStyle w:val="BodyText"/>
        <w:spacing w:before="11"/>
        <w:rPr>
          <w:sz w:val="15"/>
        </w:rPr>
      </w:pPr>
    </w:p>
    <w:p>
      <w:pPr>
        <w:spacing w:after="0"/>
        <w:rPr>
          <w:sz w:val="15"/>
        </w:rPr>
        <w:sectPr>
          <w:pgSz w:w="11910" w:h="14750"/>
          <w:pgMar w:header="642" w:footer="509" w:top="840" w:bottom="700" w:left="460" w:right="460"/>
        </w:sectPr>
      </w:pPr>
    </w:p>
    <w:p>
      <w:pPr>
        <w:pStyle w:val="ListParagraph"/>
        <w:numPr>
          <w:ilvl w:val="0"/>
          <w:numId w:val="34"/>
        </w:numPr>
        <w:tabs>
          <w:tab w:pos="334" w:val="left" w:leader="none"/>
        </w:tabs>
        <w:spacing w:line="276" w:lineRule="auto" w:before="106" w:after="0"/>
        <w:ind w:left="333" w:right="106" w:hanging="227"/>
        <w:jc w:val="left"/>
        <w:rPr>
          <w:sz w:val="18"/>
        </w:rPr>
      </w:pPr>
      <w:r>
        <w:rPr>
          <w:color w:val="231F20"/>
          <w:w w:val="105"/>
          <w:sz w:val="18"/>
        </w:rPr>
        <w:t>to</w:t>
      </w:r>
      <w:r>
        <w:rPr>
          <w:color w:val="231F20"/>
          <w:spacing w:val="-12"/>
          <w:w w:val="105"/>
          <w:sz w:val="18"/>
        </w:rPr>
        <w:t> </w:t>
      </w:r>
      <w:r>
        <w:rPr>
          <w:color w:val="231F20"/>
          <w:w w:val="105"/>
          <w:sz w:val="18"/>
        </w:rPr>
        <w:t>take</w:t>
      </w:r>
      <w:r>
        <w:rPr>
          <w:color w:val="231F20"/>
          <w:spacing w:val="-12"/>
          <w:w w:val="105"/>
          <w:sz w:val="18"/>
        </w:rPr>
        <w:t> </w:t>
      </w:r>
      <w:r>
        <w:rPr>
          <w:color w:val="231F20"/>
          <w:w w:val="105"/>
          <w:sz w:val="18"/>
        </w:rPr>
        <w:t>all</w:t>
      </w:r>
      <w:r>
        <w:rPr>
          <w:color w:val="231F20"/>
          <w:spacing w:val="-12"/>
          <w:w w:val="105"/>
          <w:sz w:val="18"/>
        </w:rPr>
        <w:t> </w:t>
      </w:r>
      <w:r>
        <w:rPr>
          <w:color w:val="231F20"/>
          <w:w w:val="105"/>
          <w:sz w:val="18"/>
        </w:rPr>
        <w:t>decisions</w:t>
      </w:r>
      <w:r>
        <w:rPr>
          <w:color w:val="231F20"/>
          <w:spacing w:val="-12"/>
          <w:w w:val="105"/>
          <w:sz w:val="18"/>
        </w:rPr>
        <w:t> </w:t>
      </w:r>
      <w:r>
        <w:rPr>
          <w:color w:val="231F20"/>
          <w:w w:val="105"/>
          <w:sz w:val="18"/>
        </w:rPr>
        <w:t>which</w:t>
      </w:r>
      <w:r>
        <w:rPr>
          <w:color w:val="231F20"/>
          <w:spacing w:val="-12"/>
          <w:w w:val="105"/>
          <w:sz w:val="18"/>
        </w:rPr>
        <w:t> </w:t>
      </w:r>
      <w:r>
        <w:rPr>
          <w:color w:val="231F20"/>
          <w:w w:val="105"/>
          <w:sz w:val="18"/>
        </w:rPr>
        <w:t>by</w:t>
      </w:r>
      <w:r>
        <w:rPr>
          <w:color w:val="231F20"/>
          <w:spacing w:val="-12"/>
          <w:w w:val="105"/>
          <w:sz w:val="18"/>
        </w:rPr>
        <w:t> </w:t>
      </w:r>
      <w:r>
        <w:rPr>
          <w:color w:val="231F20"/>
          <w:w w:val="105"/>
          <w:sz w:val="18"/>
        </w:rPr>
        <w:t>law</w:t>
      </w:r>
      <w:r>
        <w:rPr>
          <w:color w:val="231F20"/>
          <w:spacing w:val="-12"/>
          <w:w w:val="105"/>
          <w:sz w:val="18"/>
        </w:rPr>
        <w:t> </w:t>
      </w:r>
      <w:r>
        <w:rPr>
          <w:color w:val="231F20"/>
          <w:w w:val="105"/>
          <w:sz w:val="18"/>
        </w:rPr>
        <w:t>or</w:t>
      </w:r>
      <w:r>
        <w:rPr>
          <w:color w:val="231F20"/>
          <w:spacing w:val="-12"/>
          <w:w w:val="105"/>
          <w:sz w:val="18"/>
        </w:rPr>
        <w:t> </w:t>
      </w:r>
      <w:r>
        <w:rPr>
          <w:color w:val="231F20"/>
          <w:w w:val="105"/>
          <w:sz w:val="18"/>
        </w:rPr>
        <w:t>under</w:t>
      </w:r>
      <w:r>
        <w:rPr>
          <w:color w:val="231F20"/>
          <w:spacing w:val="-12"/>
          <w:w w:val="105"/>
          <w:sz w:val="18"/>
        </w:rPr>
        <w:t> </w:t>
      </w:r>
      <w:r>
        <w:rPr>
          <w:color w:val="231F20"/>
          <w:w w:val="105"/>
          <w:sz w:val="18"/>
        </w:rPr>
        <w:t>these</w:t>
      </w:r>
      <w:r>
        <w:rPr>
          <w:color w:val="231F20"/>
          <w:spacing w:val="-12"/>
          <w:w w:val="105"/>
          <w:sz w:val="18"/>
        </w:rPr>
        <w:t> </w:t>
      </w:r>
      <w:r>
        <w:rPr>
          <w:color w:val="231F20"/>
          <w:w w:val="105"/>
          <w:sz w:val="18"/>
        </w:rPr>
        <w:t>Articles of Association are within the powers of the General Meeting.</w:t>
      </w:r>
    </w:p>
    <w:p>
      <w:pPr>
        <w:pStyle w:val="BodyText"/>
        <w:spacing w:before="7"/>
        <w:rPr>
          <w:sz w:val="20"/>
        </w:rPr>
      </w:pPr>
    </w:p>
    <w:p>
      <w:pPr>
        <w:pStyle w:val="BodyText"/>
        <w:ind w:left="106"/>
      </w:pPr>
      <w:r>
        <w:rPr>
          <w:color w:val="231F20"/>
          <w:w w:val="105"/>
        </w:rPr>
        <w:t>Article 7</w:t>
      </w:r>
    </w:p>
    <w:p>
      <w:pPr>
        <w:pStyle w:val="Heading3"/>
        <w:spacing w:before="31"/>
        <w:ind w:left="106"/>
      </w:pPr>
      <w:r>
        <w:rPr>
          <w:color w:val="586670"/>
          <w:w w:val="110"/>
        </w:rPr>
        <w:t>Annual General Meeting</w:t>
      </w:r>
    </w:p>
    <w:p>
      <w:pPr>
        <w:pStyle w:val="BodyText"/>
        <w:spacing w:line="276" w:lineRule="auto" w:before="31"/>
        <w:ind w:left="106" w:right="129"/>
      </w:pPr>
      <w:r>
        <w:rPr>
          <w:color w:val="231F20"/>
        </w:rPr>
        <w:t>The Annual General Meeting shall be held each year within six months of the close of the financial year of Nestlé.</w:t>
      </w:r>
    </w:p>
    <w:p>
      <w:pPr>
        <w:pStyle w:val="BodyText"/>
        <w:spacing w:line="208" w:lineRule="exact"/>
        <w:ind w:left="106"/>
      </w:pPr>
      <w:r>
        <w:rPr>
          <w:color w:val="231F20"/>
        </w:rPr>
        <w:t>The meeting shall be convened by the Board of Directors.</w:t>
      </w:r>
    </w:p>
    <w:p>
      <w:pPr>
        <w:pStyle w:val="BodyText"/>
        <w:spacing w:before="4"/>
        <w:rPr>
          <w:sz w:val="23"/>
        </w:rPr>
      </w:pPr>
    </w:p>
    <w:p>
      <w:pPr>
        <w:pStyle w:val="BodyText"/>
        <w:ind w:left="106"/>
      </w:pPr>
      <w:r>
        <w:rPr>
          <w:color w:val="231F20"/>
          <w:w w:val="105"/>
        </w:rPr>
        <w:t>Article 8</w:t>
      </w:r>
    </w:p>
    <w:p>
      <w:pPr>
        <w:pStyle w:val="Heading3"/>
        <w:spacing w:before="31"/>
        <w:ind w:left="106"/>
      </w:pPr>
      <w:r>
        <w:rPr>
          <w:color w:val="586670"/>
          <w:w w:val="105"/>
        </w:rPr>
        <w:t>Extraordinary General Meeting</w:t>
      </w:r>
    </w:p>
    <w:p>
      <w:pPr>
        <w:pStyle w:val="ListParagraph"/>
        <w:numPr>
          <w:ilvl w:val="0"/>
          <w:numId w:val="35"/>
        </w:numPr>
        <w:tabs>
          <w:tab w:pos="334" w:val="left" w:leader="none"/>
        </w:tabs>
        <w:spacing w:line="276" w:lineRule="auto" w:before="31" w:after="0"/>
        <w:ind w:left="333" w:right="61" w:hanging="227"/>
        <w:jc w:val="left"/>
        <w:rPr>
          <w:sz w:val="18"/>
        </w:rPr>
      </w:pPr>
      <w:r>
        <w:rPr>
          <w:color w:val="231F20"/>
          <w:sz w:val="18"/>
        </w:rPr>
        <w:t>Extraordinary General Meetings shall be convened by the Board of Directors </w:t>
      </w:r>
      <w:r>
        <w:rPr>
          <w:color w:val="231F20"/>
          <w:spacing w:val="-4"/>
          <w:sz w:val="18"/>
        </w:rPr>
        <w:t>or, </w:t>
      </w:r>
      <w:r>
        <w:rPr>
          <w:color w:val="231F20"/>
          <w:sz w:val="18"/>
        </w:rPr>
        <w:t>if necessary, by the Auditors, as  well as in the other cases foreseen by</w:t>
      </w:r>
      <w:r>
        <w:rPr>
          <w:color w:val="231F20"/>
          <w:spacing w:val="-3"/>
          <w:sz w:val="18"/>
        </w:rPr>
        <w:t> law.</w:t>
      </w:r>
    </w:p>
    <w:p>
      <w:pPr>
        <w:pStyle w:val="ListParagraph"/>
        <w:numPr>
          <w:ilvl w:val="0"/>
          <w:numId w:val="35"/>
        </w:numPr>
        <w:tabs>
          <w:tab w:pos="334" w:val="left" w:leader="none"/>
        </w:tabs>
        <w:spacing w:line="276" w:lineRule="auto" w:before="0" w:after="0"/>
        <w:ind w:left="333" w:right="93" w:hanging="227"/>
        <w:jc w:val="left"/>
        <w:rPr>
          <w:sz w:val="18"/>
        </w:rPr>
      </w:pPr>
      <w:r>
        <w:rPr>
          <w:color w:val="231F20"/>
          <w:sz w:val="18"/>
        </w:rPr>
        <w:t>The Board of Directors shall, if so requested by a General Meeting or at the request in writing, specifying the items and proposals to appear on the agenda, of one or more shareholders with  voting  rights  whose  combined holdings represent at least one tenth of the share capital as recorded in the commercial register, convene an Extraordinary General Meeting. The  Extraordinary General Meeting shall be held as promptly as practicable following such</w:t>
      </w:r>
      <w:r>
        <w:rPr>
          <w:color w:val="231F20"/>
          <w:spacing w:val="-4"/>
          <w:sz w:val="18"/>
        </w:rPr>
        <w:t> </w:t>
      </w:r>
      <w:r>
        <w:rPr>
          <w:color w:val="231F20"/>
          <w:sz w:val="18"/>
        </w:rPr>
        <w:t>request.</w:t>
      </w:r>
    </w:p>
    <w:p>
      <w:pPr>
        <w:pStyle w:val="BodyText"/>
        <w:spacing w:before="3"/>
        <w:rPr>
          <w:sz w:val="20"/>
        </w:rPr>
      </w:pPr>
    </w:p>
    <w:p>
      <w:pPr>
        <w:pStyle w:val="BodyText"/>
        <w:ind w:left="106"/>
      </w:pPr>
      <w:r>
        <w:rPr>
          <w:color w:val="231F20"/>
          <w:w w:val="105"/>
        </w:rPr>
        <w:t>Article 9</w:t>
      </w:r>
    </w:p>
    <w:p>
      <w:pPr>
        <w:pStyle w:val="Heading3"/>
        <w:spacing w:before="31"/>
        <w:ind w:left="106"/>
      </w:pPr>
      <w:r>
        <w:rPr>
          <w:color w:val="586670"/>
          <w:w w:val="110"/>
        </w:rPr>
        <w:t>Notice of General Meetings; Agenda</w:t>
      </w:r>
    </w:p>
    <w:p>
      <w:pPr>
        <w:pStyle w:val="ListParagraph"/>
        <w:numPr>
          <w:ilvl w:val="0"/>
          <w:numId w:val="36"/>
        </w:numPr>
        <w:tabs>
          <w:tab w:pos="334" w:val="left" w:leader="none"/>
        </w:tabs>
        <w:spacing w:line="276" w:lineRule="auto" w:before="31" w:after="0"/>
        <w:ind w:left="333" w:right="330" w:hanging="227"/>
        <w:jc w:val="left"/>
        <w:rPr>
          <w:sz w:val="18"/>
        </w:rPr>
      </w:pPr>
      <w:r>
        <w:rPr>
          <w:color w:val="231F20"/>
          <w:sz w:val="18"/>
        </w:rPr>
        <w:t>Annual or Extraordinary General Meetings shall be convened by notice in the “Swiss Official Gazette of Commerce” not less than twenty days before the date fixed for the meeting. Shareholders may in addition   be informed by ordinary</w:t>
      </w:r>
      <w:r>
        <w:rPr>
          <w:color w:val="231F20"/>
          <w:spacing w:val="-9"/>
          <w:sz w:val="18"/>
        </w:rPr>
        <w:t> </w:t>
      </w:r>
      <w:r>
        <w:rPr>
          <w:color w:val="231F20"/>
          <w:sz w:val="18"/>
        </w:rPr>
        <w:t>mail.</w:t>
      </w:r>
    </w:p>
    <w:p>
      <w:pPr>
        <w:pStyle w:val="ListParagraph"/>
        <w:numPr>
          <w:ilvl w:val="0"/>
          <w:numId w:val="36"/>
        </w:numPr>
        <w:tabs>
          <w:tab w:pos="334" w:val="left" w:leader="none"/>
        </w:tabs>
        <w:spacing w:line="276" w:lineRule="auto" w:before="0" w:after="0"/>
        <w:ind w:left="333" w:right="211" w:hanging="227"/>
        <w:jc w:val="left"/>
        <w:rPr>
          <w:sz w:val="18"/>
        </w:rPr>
      </w:pPr>
      <w:r>
        <w:rPr>
          <w:color w:val="231F20"/>
          <w:w w:val="105"/>
          <w:sz w:val="18"/>
        </w:rPr>
        <w:t>The notice of a meeting shall state the items on the agenda</w:t>
      </w:r>
      <w:r>
        <w:rPr>
          <w:color w:val="231F20"/>
          <w:spacing w:val="-7"/>
          <w:w w:val="105"/>
          <w:sz w:val="18"/>
        </w:rPr>
        <w:t> </w:t>
      </w:r>
      <w:r>
        <w:rPr>
          <w:color w:val="231F20"/>
          <w:w w:val="105"/>
          <w:sz w:val="18"/>
        </w:rPr>
        <w:t>and</w:t>
      </w:r>
      <w:r>
        <w:rPr>
          <w:color w:val="231F20"/>
          <w:spacing w:val="-7"/>
          <w:w w:val="105"/>
          <w:sz w:val="18"/>
        </w:rPr>
        <w:t> </w:t>
      </w:r>
      <w:r>
        <w:rPr>
          <w:color w:val="231F20"/>
          <w:w w:val="105"/>
          <w:sz w:val="18"/>
        </w:rPr>
        <w:t>the</w:t>
      </w:r>
      <w:r>
        <w:rPr>
          <w:color w:val="231F20"/>
          <w:spacing w:val="-7"/>
          <w:w w:val="105"/>
          <w:sz w:val="18"/>
        </w:rPr>
        <w:t> </w:t>
      </w:r>
      <w:r>
        <w:rPr>
          <w:color w:val="231F20"/>
          <w:w w:val="105"/>
          <w:sz w:val="18"/>
        </w:rPr>
        <w:t>proposals</w:t>
      </w:r>
      <w:r>
        <w:rPr>
          <w:color w:val="231F20"/>
          <w:spacing w:val="-6"/>
          <w:w w:val="105"/>
          <w:sz w:val="18"/>
        </w:rPr>
        <w:t> </w:t>
      </w:r>
      <w:r>
        <w:rPr>
          <w:color w:val="231F20"/>
          <w:w w:val="105"/>
          <w:sz w:val="18"/>
        </w:rPr>
        <w:t>of</w:t>
      </w:r>
      <w:r>
        <w:rPr>
          <w:color w:val="231F20"/>
          <w:spacing w:val="-7"/>
          <w:w w:val="105"/>
          <w:sz w:val="18"/>
        </w:rPr>
        <w:t> </w:t>
      </w:r>
      <w:r>
        <w:rPr>
          <w:color w:val="231F20"/>
          <w:w w:val="105"/>
          <w:sz w:val="18"/>
        </w:rPr>
        <w:t>the</w:t>
      </w:r>
      <w:r>
        <w:rPr>
          <w:color w:val="231F20"/>
          <w:spacing w:val="-7"/>
          <w:w w:val="105"/>
          <w:sz w:val="18"/>
        </w:rPr>
        <w:t> </w:t>
      </w:r>
      <w:r>
        <w:rPr>
          <w:color w:val="231F20"/>
          <w:w w:val="105"/>
          <w:sz w:val="18"/>
        </w:rPr>
        <w:t>Board</w:t>
      </w:r>
      <w:r>
        <w:rPr>
          <w:color w:val="231F20"/>
          <w:spacing w:val="-6"/>
          <w:w w:val="105"/>
          <w:sz w:val="18"/>
        </w:rPr>
        <w:t> </w:t>
      </w:r>
      <w:r>
        <w:rPr>
          <w:color w:val="231F20"/>
          <w:w w:val="105"/>
          <w:sz w:val="18"/>
        </w:rPr>
        <w:t>of</w:t>
      </w:r>
      <w:r>
        <w:rPr>
          <w:color w:val="231F20"/>
          <w:spacing w:val="-7"/>
          <w:w w:val="105"/>
          <w:sz w:val="18"/>
        </w:rPr>
        <w:t> </w:t>
      </w:r>
      <w:r>
        <w:rPr>
          <w:color w:val="231F20"/>
          <w:w w:val="105"/>
          <w:sz w:val="18"/>
        </w:rPr>
        <w:t>Directors</w:t>
      </w:r>
      <w:r>
        <w:rPr>
          <w:color w:val="231F20"/>
          <w:spacing w:val="-7"/>
          <w:w w:val="105"/>
          <w:sz w:val="18"/>
        </w:rPr>
        <w:t> </w:t>
      </w:r>
      <w:r>
        <w:rPr>
          <w:color w:val="231F20"/>
          <w:w w:val="105"/>
          <w:sz w:val="18"/>
        </w:rPr>
        <w:t>and of the shareholders who requested that a General Meeting be convened (art. 8 </w:t>
      </w:r>
      <w:r>
        <w:rPr>
          <w:color w:val="231F20"/>
          <w:spacing w:val="-3"/>
          <w:w w:val="105"/>
          <w:sz w:val="18"/>
        </w:rPr>
        <w:t>par. </w:t>
      </w:r>
      <w:r>
        <w:rPr>
          <w:color w:val="231F20"/>
          <w:w w:val="105"/>
          <w:sz w:val="18"/>
        </w:rPr>
        <w:t>2) or that items be included</w:t>
      </w:r>
      <w:r>
        <w:rPr>
          <w:color w:val="231F20"/>
          <w:spacing w:val="-10"/>
          <w:w w:val="105"/>
          <w:sz w:val="18"/>
        </w:rPr>
        <w:t> </w:t>
      </w:r>
      <w:r>
        <w:rPr>
          <w:color w:val="231F20"/>
          <w:w w:val="105"/>
          <w:sz w:val="18"/>
        </w:rPr>
        <w:t>in</w:t>
      </w:r>
      <w:r>
        <w:rPr>
          <w:color w:val="231F20"/>
          <w:spacing w:val="-9"/>
          <w:w w:val="105"/>
          <w:sz w:val="18"/>
        </w:rPr>
        <w:t> </w:t>
      </w:r>
      <w:r>
        <w:rPr>
          <w:color w:val="231F20"/>
          <w:w w:val="105"/>
          <w:sz w:val="18"/>
        </w:rPr>
        <w:t>the</w:t>
      </w:r>
      <w:r>
        <w:rPr>
          <w:color w:val="231F20"/>
          <w:spacing w:val="-9"/>
          <w:w w:val="105"/>
          <w:sz w:val="18"/>
        </w:rPr>
        <w:t> </w:t>
      </w:r>
      <w:r>
        <w:rPr>
          <w:color w:val="231F20"/>
          <w:w w:val="105"/>
          <w:sz w:val="18"/>
        </w:rPr>
        <w:t>agenda</w:t>
      </w:r>
      <w:r>
        <w:rPr>
          <w:color w:val="231F20"/>
          <w:spacing w:val="-9"/>
          <w:w w:val="105"/>
          <w:sz w:val="18"/>
        </w:rPr>
        <w:t> </w:t>
      </w:r>
      <w:r>
        <w:rPr>
          <w:color w:val="231F20"/>
          <w:w w:val="105"/>
          <w:sz w:val="18"/>
        </w:rPr>
        <w:t>(art.</w:t>
      </w:r>
      <w:r>
        <w:rPr>
          <w:color w:val="231F20"/>
          <w:spacing w:val="-9"/>
          <w:w w:val="105"/>
          <w:sz w:val="18"/>
        </w:rPr>
        <w:t> </w:t>
      </w:r>
      <w:r>
        <w:rPr>
          <w:color w:val="231F20"/>
          <w:w w:val="105"/>
          <w:sz w:val="18"/>
        </w:rPr>
        <w:t>9</w:t>
      </w:r>
      <w:r>
        <w:rPr>
          <w:color w:val="231F20"/>
          <w:spacing w:val="-9"/>
          <w:w w:val="105"/>
          <w:sz w:val="18"/>
        </w:rPr>
        <w:t> </w:t>
      </w:r>
      <w:r>
        <w:rPr>
          <w:color w:val="231F20"/>
          <w:spacing w:val="-3"/>
          <w:w w:val="105"/>
          <w:sz w:val="18"/>
        </w:rPr>
        <w:t>par.</w:t>
      </w:r>
      <w:r>
        <w:rPr>
          <w:color w:val="231F20"/>
          <w:spacing w:val="-9"/>
          <w:w w:val="105"/>
          <w:sz w:val="18"/>
        </w:rPr>
        <w:t> </w:t>
      </w:r>
      <w:r>
        <w:rPr>
          <w:color w:val="231F20"/>
          <w:spacing w:val="-3"/>
          <w:w w:val="105"/>
          <w:sz w:val="18"/>
        </w:rPr>
        <w:t>3).</w:t>
      </w:r>
    </w:p>
    <w:p>
      <w:pPr>
        <w:pStyle w:val="ListParagraph"/>
        <w:numPr>
          <w:ilvl w:val="0"/>
          <w:numId w:val="36"/>
        </w:numPr>
        <w:tabs>
          <w:tab w:pos="334" w:val="left" w:leader="none"/>
        </w:tabs>
        <w:spacing w:line="276" w:lineRule="auto" w:before="0" w:after="0"/>
        <w:ind w:left="333" w:right="163" w:hanging="227"/>
        <w:jc w:val="left"/>
        <w:rPr>
          <w:sz w:val="18"/>
        </w:rPr>
      </w:pPr>
      <w:r>
        <w:rPr>
          <w:color w:val="231F20"/>
          <w:w w:val="105"/>
          <w:sz w:val="18"/>
        </w:rPr>
        <w:t>One or more shareholders with voting rights whose combined</w:t>
      </w:r>
      <w:r>
        <w:rPr>
          <w:color w:val="231F20"/>
          <w:spacing w:val="-7"/>
          <w:w w:val="105"/>
          <w:sz w:val="18"/>
        </w:rPr>
        <w:t> </w:t>
      </w:r>
      <w:r>
        <w:rPr>
          <w:color w:val="231F20"/>
          <w:w w:val="105"/>
          <w:sz w:val="18"/>
        </w:rPr>
        <w:t>holdings</w:t>
      </w:r>
      <w:r>
        <w:rPr>
          <w:color w:val="231F20"/>
          <w:spacing w:val="-7"/>
          <w:w w:val="105"/>
          <w:sz w:val="18"/>
        </w:rPr>
        <w:t> </w:t>
      </w:r>
      <w:r>
        <w:rPr>
          <w:color w:val="231F20"/>
          <w:w w:val="105"/>
          <w:sz w:val="18"/>
        </w:rPr>
        <w:t>represent</w:t>
      </w:r>
      <w:r>
        <w:rPr>
          <w:color w:val="231F20"/>
          <w:spacing w:val="-7"/>
          <w:w w:val="105"/>
          <w:sz w:val="18"/>
        </w:rPr>
        <w:t> </w:t>
      </w:r>
      <w:r>
        <w:rPr>
          <w:color w:val="231F20"/>
          <w:w w:val="105"/>
          <w:sz w:val="18"/>
        </w:rPr>
        <w:t>at</w:t>
      </w:r>
      <w:r>
        <w:rPr>
          <w:color w:val="231F20"/>
          <w:spacing w:val="-6"/>
          <w:w w:val="105"/>
          <w:sz w:val="18"/>
        </w:rPr>
        <w:t> </w:t>
      </w:r>
      <w:r>
        <w:rPr>
          <w:color w:val="231F20"/>
          <w:w w:val="105"/>
          <w:sz w:val="18"/>
        </w:rPr>
        <w:t>least</w:t>
      </w:r>
      <w:r>
        <w:rPr>
          <w:color w:val="231F20"/>
          <w:spacing w:val="-7"/>
          <w:w w:val="105"/>
          <w:sz w:val="18"/>
        </w:rPr>
        <w:t> 0.15% </w:t>
      </w:r>
      <w:r>
        <w:rPr>
          <w:color w:val="231F20"/>
          <w:w w:val="105"/>
          <w:sz w:val="18"/>
        </w:rPr>
        <w:t>of</w:t>
      </w:r>
      <w:r>
        <w:rPr>
          <w:color w:val="231F20"/>
          <w:spacing w:val="-7"/>
          <w:w w:val="105"/>
          <w:sz w:val="18"/>
        </w:rPr>
        <w:t> </w:t>
      </w:r>
      <w:r>
        <w:rPr>
          <w:color w:val="231F20"/>
          <w:w w:val="105"/>
          <w:sz w:val="18"/>
        </w:rPr>
        <w:t>the</w:t>
      </w:r>
      <w:r>
        <w:rPr>
          <w:color w:val="231F20"/>
          <w:spacing w:val="-6"/>
          <w:w w:val="105"/>
          <w:sz w:val="18"/>
        </w:rPr>
        <w:t> </w:t>
      </w:r>
      <w:r>
        <w:rPr>
          <w:color w:val="231F20"/>
          <w:w w:val="105"/>
          <w:sz w:val="18"/>
        </w:rPr>
        <w:t>share capital</w:t>
      </w:r>
      <w:r>
        <w:rPr>
          <w:color w:val="231F20"/>
          <w:spacing w:val="-17"/>
          <w:w w:val="105"/>
          <w:sz w:val="18"/>
        </w:rPr>
        <w:t> </w:t>
      </w:r>
      <w:r>
        <w:rPr>
          <w:color w:val="231F20"/>
          <w:w w:val="105"/>
          <w:sz w:val="18"/>
        </w:rPr>
        <w:t>of</w:t>
      </w:r>
      <w:r>
        <w:rPr>
          <w:color w:val="231F20"/>
          <w:spacing w:val="-16"/>
          <w:w w:val="105"/>
          <w:sz w:val="18"/>
        </w:rPr>
        <w:t> </w:t>
      </w:r>
      <w:r>
        <w:rPr>
          <w:color w:val="231F20"/>
          <w:w w:val="105"/>
          <w:sz w:val="18"/>
        </w:rPr>
        <w:t>Nestlé</w:t>
      </w:r>
      <w:r>
        <w:rPr>
          <w:color w:val="231F20"/>
          <w:spacing w:val="-16"/>
          <w:w w:val="105"/>
          <w:sz w:val="18"/>
        </w:rPr>
        <w:t> </w:t>
      </w:r>
      <w:r>
        <w:rPr>
          <w:color w:val="231F20"/>
          <w:w w:val="105"/>
          <w:sz w:val="18"/>
        </w:rPr>
        <w:t>as</w:t>
      </w:r>
      <w:r>
        <w:rPr>
          <w:color w:val="231F20"/>
          <w:spacing w:val="-17"/>
          <w:w w:val="105"/>
          <w:sz w:val="18"/>
        </w:rPr>
        <w:t> </w:t>
      </w:r>
      <w:r>
        <w:rPr>
          <w:color w:val="231F20"/>
          <w:w w:val="105"/>
          <w:sz w:val="18"/>
        </w:rPr>
        <w:t>recorded</w:t>
      </w:r>
      <w:r>
        <w:rPr>
          <w:color w:val="231F20"/>
          <w:spacing w:val="-16"/>
          <w:w w:val="105"/>
          <w:sz w:val="18"/>
        </w:rPr>
        <w:t> </w:t>
      </w:r>
      <w:r>
        <w:rPr>
          <w:color w:val="231F20"/>
          <w:w w:val="105"/>
          <w:sz w:val="18"/>
        </w:rPr>
        <w:t>in</w:t>
      </w:r>
      <w:r>
        <w:rPr>
          <w:color w:val="231F20"/>
          <w:spacing w:val="-16"/>
          <w:w w:val="105"/>
          <w:sz w:val="18"/>
        </w:rPr>
        <w:t> </w:t>
      </w:r>
      <w:r>
        <w:rPr>
          <w:color w:val="231F20"/>
          <w:w w:val="105"/>
          <w:sz w:val="18"/>
        </w:rPr>
        <w:t>the</w:t>
      </w:r>
      <w:r>
        <w:rPr>
          <w:color w:val="231F20"/>
          <w:spacing w:val="-17"/>
          <w:w w:val="105"/>
          <w:sz w:val="18"/>
        </w:rPr>
        <w:t> </w:t>
      </w:r>
      <w:r>
        <w:rPr>
          <w:color w:val="231F20"/>
          <w:w w:val="105"/>
          <w:sz w:val="18"/>
        </w:rPr>
        <w:t>commercial</w:t>
      </w:r>
      <w:r>
        <w:rPr>
          <w:color w:val="231F20"/>
          <w:spacing w:val="-16"/>
          <w:w w:val="105"/>
          <w:sz w:val="18"/>
        </w:rPr>
        <w:t> </w:t>
      </w:r>
      <w:r>
        <w:rPr>
          <w:color w:val="231F20"/>
          <w:w w:val="105"/>
          <w:sz w:val="18"/>
        </w:rPr>
        <w:t>register may</w:t>
      </w:r>
      <w:r>
        <w:rPr>
          <w:color w:val="231F20"/>
          <w:spacing w:val="-13"/>
          <w:w w:val="105"/>
          <w:sz w:val="18"/>
        </w:rPr>
        <w:t> </w:t>
      </w:r>
      <w:r>
        <w:rPr>
          <w:color w:val="231F20"/>
          <w:w w:val="105"/>
          <w:sz w:val="18"/>
        </w:rPr>
        <w:t>request</w:t>
      </w:r>
      <w:r>
        <w:rPr>
          <w:color w:val="231F20"/>
          <w:spacing w:val="-12"/>
          <w:w w:val="105"/>
          <w:sz w:val="18"/>
        </w:rPr>
        <w:t> </w:t>
      </w:r>
      <w:r>
        <w:rPr>
          <w:color w:val="231F20"/>
          <w:w w:val="105"/>
          <w:sz w:val="18"/>
        </w:rPr>
        <w:t>that</w:t>
      </w:r>
      <w:r>
        <w:rPr>
          <w:color w:val="231F20"/>
          <w:spacing w:val="-12"/>
          <w:w w:val="105"/>
          <w:sz w:val="18"/>
        </w:rPr>
        <w:t> </w:t>
      </w:r>
      <w:r>
        <w:rPr>
          <w:color w:val="231F20"/>
          <w:w w:val="105"/>
          <w:sz w:val="18"/>
        </w:rPr>
        <w:t>an</w:t>
      </w:r>
      <w:r>
        <w:rPr>
          <w:color w:val="231F20"/>
          <w:spacing w:val="-12"/>
          <w:w w:val="105"/>
          <w:sz w:val="18"/>
        </w:rPr>
        <w:t> </w:t>
      </w:r>
      <w:r>
        <w:rPr>
          <w:color w:val="231F20"/>
          <w:w w:val="105"/>
          <w:sz w:val="18"/>
        </w:rPr>
        <w:t>item</w:t>
      </w:r>
      <w:r>
        <w:rPr>
          <w:color w:val="231F20"/>
          <w:spacing w:val="-13"/>
          <w:w w:val="105"/>
          <w:sz w:val="18"/>
        </w:rPr>
        <w:t> </w:t>
      </w:r>
      <w:r>
        <w:rPr>
          <w:color w:val="231F20"/>
          <w:w w:val="105"/>
          <w:sz w:val="18"/>
        </w:rPr>
        <w:t>be</w:t>
      </w:r>
      <w:r>
        <w:rPr>
          <w:color w:val="231F20"/>
          <w:spacing w:val="-12"/>
          <w:w w:val="105"/>
          <w:sz w:val="18"/>
        </w:rPr>
        <w:t> </w:t>
      </w:r>
      <w:r>
        <w:rPr>
          <w:color w:val="231F20"/>
          <w:w w:val="105"/>
          <w:sz w:val="18"/>
        </w:rPr>
        <w:t>included</w:t>
      </w:r>
      <w:r>
        <w:rPr>
          <w:color w:val="231F20"/>
          <w:spacing w:val="-12"/>
          <w:w w:val="105"/>
          <w:sz w:val="18"/>
        </w:rPr>
        <w:t> </w:t>
      </w:r>
      <w:r>
        <w:rPr>
          <w:color w:val="231F20"/>
          <w:w w:val="105"/>
          <w:sz w:val="18"/>
        </w:rPr>
        <w:t>in</w:t>
      </w:r>
      <w:r>
        <w:rPr>
          <w:color w:val="231F20"/>
          <w:spacing w:val="-12"/>
          <w:w w:val="105"/>
          <w:sz w:val="18"/>
        </w:rPr>
        <w:t> </w:t>
      </w:r>
      <w:r>
        <w:rPr>
          <w:color w:val="231F20"/>
          <w:w w:val="105"/>
          <w:sz w:val="18"/>
        </w:rPr>
        <w:t>the</w:t>
      </w:r>
      <w:r>
        <w:rPr>
          <w:color w:val="231F20"/>
          <w:spacing w:val="-13"/>
          <w:w w:val="105"/>
          <w:sz w:val="18"/>
        </w:rPr>
        <w:t> </w:t>
      </w:r>
      <w:r>
        <w:rPr>
          <w:color w:val="231F20"/>
          <w:w w:val="105"/>
          <w:sz w:val="18"/>
        </w:rPr>
        <w:t>agenda</w:t>
      </w:r>
      <w:r>
        <w:rPr>
          <w:color w:val="231F20"/>
          <w:spacing w:val="-12"/>
          <w:w w:val="105"/>
          <w:sz w:val="18"/>
        </w:rPr>
        <w:t> </w:t>
      </w:r>
      <w:r>
        <w:rPr>
          <w:color w:val="231F20"/>
          <w:w w:val="105"/>
          <w:sz w:val="18"/>
        </w:rPr>
        <w:t>of</w:t>
      </w:r>
    </w:p>
    <w:p>
      <w:pPr>
        <w:pStyle w:val="BodyText"/>
        <w:spacing w:line="276" w:lineRule="auto"/>
        <w:ind w:left="333" w:right="224"/>
      </w:pPr>
      <w:r>
        <w:rPr>
          <w:color w:val="231F20"/>
        </w:rPr>
        <w:t>a General Meeting. Such a request must be made in writing to the Board of Directors at the latest 45 days before the meeting and shall specify the agenda items and the proposals made.</w:t>
      </w:r>
    </w:p>
    <w:p>
      <w:pPr>
        <w:pStyle w:val="ListParagraph"/>
        <w:numPr>
          <w:ilvl w:val="0"/>
          <w:numId w:val="36"/>
        </w:numPr>
        <w:tabs>
          <w:tab w:pos="334" w:val="left" w:leader="none"/>
        </w:tabs>
        <w:spacing w:line="276" w:lineRule="auto" w:before="0" w:after="0"/>
        <w:ind w:left="333" w:right="244" w:hanging="227"/>
        <w:jc w:val="left"/>
        <w:rPr>
          <w:sz w:val="18"/>
        </w:rPr>
      </w:pPr>
      <w:r>
        <w:rPr>
          <w:color w:val="231F20"/>
          <w:sz w:val="18"/>
        </w:rPr>
        <w:t>No resolution shall be passed at a General Meeting on matters</w:t>
      </w:r>
      <w:r>
        <w:rPr>
          <w:color w:val="231F20"/>
          <w:spacing w:val="10"/>
          <w:sz w:val="18"/>
        </w:rPr>
        <w:t> </w:t>
      </w:r>
      <w:r>
        <w:rPr>
          <w:color w:val="231F20"/>
          <w:sz w:val="18"/>
        </w:rPr>
        <w:t>which</w:t>
      </w:r>
      <w:r>
        <w:rPr>
          <w:color w:val="231F20"/>
          <w:spacing w:val="10"/>
          <w:sz w:val="18"/>
        </w:rPr>
        <w:t> </w:t>
      </w:r>
      <w:r>
        <w:rPr>
          <w:color w:val="231F20"/>
          <w:sz w:val="18"/>
        </w:rPr>
        <w:t>do</w:t>
      </w:r>
      <w:r>
        <w:rPr>
          <w:color w:val="231F20"/>
          <w:spacing w:val="10"/>
          <w:sz w:val="18"/>
        </w:rPr>
        <w:t> </w:t>
      </w:r>
      <w:r>
        <w:rPr>
          <w:color w:val="231F20"/>
          <w:sz w:val="18"/>
        </w:rPr>
        <w:t>not</w:t>
      </w:r>
      <w:r>
        <w:rPr>
          <w:color w:val="231F20"/>
          <w:spacing w:val="10"/>
          <w:sz w:val="18"/>
        </w:rPr>
        <w:t> </w:t>
      </w:r>
      <w:r>
        <w:rPr>
          <w:color w:val="231F20"/>
          <w:sz w:val="18"/>
        </w:rPr>
        <w:t>appear</w:t>
      </w:r>
      <w:r>
        <w:rPr>
          <w:color w:val="231F20"/>
          <w:spacing w:val="11"/>
          <w:sz w:val="18"/>
        </w:rPr>
        <w:t> </w:t>
      </w:r>
      <w:r>
        <w:rPr>
          <w:color w:val="231F20"/>
          <w:sz w:val="18"/>
        </w:rPr>
        <w:t>on</w:t>
      </w:r>
      <w:r>
        <w:rPr>
          <w:color w:val="231F20"/>
          <w:spacing w:val="10"/>
          <w:sz w:val="18"/>
        </w:rPr>
        <w:t> </w:t>
      </w:r>
      <w:r>
        <w:rPr>
          <w:color w:val="231F20"/>
          <w:sz w:val="18"/>
        </w:rPr>
        <w:t>the</w:t>
      </w:r>
      <w:r>
        <w:rPr>
          <w:color w:val="231F20"/>
          <w:spacing w:val="10"/>
          <w:sz w:val="18"/>
        </w:rPr>
        <w:t> </w:t>
      </w:r>
      <w:r>
        <w:rPr>
          <w:color w:val="231F20"/>
          <w:sz w:val="18"/>
        </w:rPr>
        <w:t>agenda</w:t>
      </w:r>
      <w:r>
        <w:rPr>
          <w:color w:val="231F20"/>
          <w:spacing w:val="10"/>
          <w:sz w:val="18"/>
        </w:rPr>
        <w:t> </w:t>
      </w:r>
      <w:r>
        <w:rPr>
          <w:color w:val="231F20"/>
          <w:sz w:val="18"/>
        </w:rPr>
        <w:t>except</w:t>
      </w:r>
      <w:r>
        <w:rPr>
          <w:color w:val="231F20"/>
          <w:spacing w:val="10"/>
          <w:sz w:val="18"/>
        </w:rPr>
        <w:t> </w:t>
      </w:r>
      <w:r>
        <w:rPr>
          <w:color w:val="231F20"/>
          <w:sz w:val="18"/>
        </w:rPr>
        <w:t>for:</w:t>
      </w:r>
    </w:p>
    <w:p>
      <w:pPr>
        <w:pStyle w:val="ListParagraph"/>
        <w:numPr>
          <w:ilvl w:val="0"/>
          <w:numId w:val="37"/>
        </w:numPr>
        <w:tabs>
          <w:tab w:pos="334" w:val="left" w:leader="none"/>
        </w:tabs>
        <w:spacing w:line="276" w:lineRule="auto" w:before="0" w:after="0"/>
        <w:ind w:left="333" w:right="38" w:hanging="227"/>
        <w:jc w:val="left"/>
        <w:rPr>
          <w:sz w:val="18"/>
        </w:rPr>
      </w:pPr>
      <w:r>
        <w:rPr>
          <w:color w:val="231F20"/>
          <w:sz w:val="18"/>
        </w:rPr>
        <w:t>a resolution convening an Extraordinary General Meeting; or</w:t>
      </w:r>
    </w:p>
    <w:p>
      <w:pPr>
        <w:pStyle w:val="ListParagraph"/>
        <w:numPr>
          <w:ilvl w:val="0"/>
          <w:numId w:val="37"/>
        </w:numPr>
        <w:tabs>
          <w:tab w:pos="334" w:val="left" w:leader="none"/>
        </w:tabs>
        <w:spacing w:line="208" w:lineRule="exact" w:before="0" w:after="0"/>
        <w:ind w:left="333" w:right="0" w:hanging="227"/>
        <w:jc w:val="left"/>
        <w:rPr>
          <w:sz w:val="18"/>
        </w:rPr>
      </w:pPr>
      <w:r>
        <w:rPr>
          <w:color w:val="231F20"/>
          <w:sz w:val="18"/>
        </w:rPr>
        <w:t>the setting up of a special</w:t>
      </w:r>
      <w:r>
        <w:rPr>
          <w:color w:val="231F20"/>
          <w:spacing w:val="-14"/>
          <w:sz w:val="18"/>
        </w:rPr>
        <w:t> </w:t>
      </w:r>
      <w:r>
        <w:rPr>
          <w:color w:val="231F20"/>
          <w:sz w:val="18"/>
        </w:rPr>
        <w:t>audit.</w:t>
      </w:r>
    </w:p>
    <w:p>
      <w:pPr>
        <w:pStyle w:val="BodyText"/>
        <w:spacing w:before="106"/>
        <w:ind w:left="106"/>
      </w:pPr>
      <w:r>
        <w:rPr/>
        <w:br w:type="column"/>
      </w:r>
      <w:r>
        <w:rPr>
          <w:color w:val="231F20"/>
          <w:w w:val="105"/>
        </w:rPr>
        <w:t>Article 10</w:t>
      </w:r>
    </w:p>
    <w:p>
      <w:pPr>
        <w:pStyle w:val="Heading3"/>
        <w:spacing w:before="31"/>
        <w:ind w:left="106"/>
      </w:pPr>
      <w:r>
        <w:rPr>
          <w:color w:val="586670"/>
          <w:w w:val="110"/>
        </w:rPr>
        <w:t>Presiding officer; Minutes</w:t>
      </w:r>
    </w:p>
    <w:p>
      <w:pPr>
        <w:pStyle w:val="ListParagraph"/>
        <w:numPr>
          <w:ilvl w:val="0"/>
          <w:numId w:val="38"/>
        </w:numPr>
        <w:tabs>
          <w:tab w:pos="334" w:val="left" w:leader="none"/>
        </w:tabs>
        <w:spacing w:line="276" w:lineRule="auto" w:before="31" w:after="0"/>
        <w:ind w:left="333" w:right="567" w:hanging="227"/>
        <w:jc w:val="left"/>
        <w:rPr>
          <w:sz w:val="18"/>
        </w:rPr>
      </w:pPr>
      <w:r>
        <w:rPr>
          <w:color w:val="231F20"/>
          <w:sz w:val="18"/>
        </w:rPr>
        <w:t>The Chairman or any member of the Board of Directors shall preside at General Meetings and </w:t>
      </w:r>
      <w:r>
        <w:rPr>
          <w:color w:val="231F20"/>
          <w:spacing w:val="2"/>
          <w:sz w:val="18"/>
        </w:rPr>
        <w:t>carry </w:t>
      </w:r>
      <w:r>
        <w:rPr>
          <w:color w:val="231F20"/>
          <w:sz w:val="18"/>
        </w:rPr>
        <w:t>all procedural powers.</w:t>
      </w:r>
    </w:p>
    <w:p>
      <w:pPr>
        <w:pStyle w:val="ListParagraph"/>
        <w:numPr>
          <w:ilvl w:val="0"/>
          <w:numId w:val="38"/>
        </w:numPr>
        <w:tabs>
          <w:tab w:pos="334" w:val="left" w:leader="none"/>
        </w:tabs>
        <w:spacing w:line="276" w:lineRule="auto" w:before="0" w:after="0"/>
        <w:ind w:left="333" w:right="1277" w:hanging="227"/>
        <w:jc w:val="left"/>
        <w:rPr>
          <w:sz w:val="18"/>
        </w:rPr>
      </w:pPr>
      <w:r>
        <w:rPr>
          <w:color w:val="231F20"/>
          <w:sz w:val="18"/>
        </w:rPr>
        <w:t>Minutes of General Meetings shall be kept by the Secretary of the Board of</w:t>
      </w:r>
      <w:r>
        <w:rPr>
          <w:color w:val="231F20"/>
          <w:spacing w:val="-1"/>
          <w:sz w:val="18"/>
        </w:rPr>
        <w:t> </w:t>
      </w:r>
      <w:r>
        <w:rPr>
          <w:color w:val="231F20"/>
          <w:sz w:val="18"/>
        </w:rPr>
        <w:t>Directors.</w:t>
      </w:r>
    </w:p>
    <w:p>
      <w:pPr>
        <w:pStyle w:val="BodyText"/>
        <w:spacing w:before="6"/>
        <w:rPr>
          <w:sz w:val="20"/>
        </w:rPr>
      </w:pPr>
    </w:p>
    <w:p>
      <w:pPr>
        <w:pStyle w:val="BodyText"/>
        <w:ind w:left="106"/>
      </w:pPr>
      <w:r>
        <w:rPr>
          <w:color w:val="231F20"/>
          <w:w w:val="105"/>
        </w:rPr>
        <w:t>Article 11</w:t>
      </w:r>
    </w:p>
    <w:p>
      <w:pPr>
        <w:pStyle w:val="Heading3"/>
        <w:spacing w:before="31"/>
        <w:ind w:left="106"/>
      </w:pPr>
      <w:r>
        <w:rPr>
          <w:color w:val="586670"/>
          <w:w w:val="110"/>
        </w:rPr>
        <w:t>Voting rights; Proxies</w:t>
      </w:r>
    </w:p>
    <w:p>
      <w:pPr>
        <w:pStyle w:val="ListParagraph"/>
        <w:numPr>
          <w:ilvl w:val="0"/>
          <w:numId w:val="39"/>
        </w:numPr>
        <w:tabs>
          <w:tab w:pos="334" w:val="left" w:leader="none"/>
        </w:tabs>
        <w:spacing w:line="276" w:lineRule="auto" w:before="31" w:after="0"/>
        <w:ind w:left="333" w:right="781" w:hanging="227"/>
        <w:jc w:val="left"/>
        <w:rPr>
          <w:sz w:val="18"/>
        </w:rPr>
      </w:pPr>
      <w:r>
        <w:rPr>
          <w:color w:val="231F20"/>
          <w:sz w:val="18"/>
        </w:rPr>
        <w:t>Each share recorded in the share register as share with voting rights confers one vote on its</w:t>
      </w:r>
      <w:r>
        <w:rPr>
          <w:color w:val="231F20"/>
          <w:spacing w:val="3"/>
          <w:sz w:val="18"/>
        </w:rPr>
        <w:t> </w:t>
      </w:r>
      <w:r>
        <w:rPr>
          <w:color w:val="231F20"/>
          <w:sz w:val="18"/>
        </w:rPr>
        <w:t>holder.</w:t>
      </w:r>
    </w:p>
    <w:p>
      <w:pPr>
        <w:pStyle w:val="ListParagraph"/>
        <w:numPr>
          <w:ilvl w:val="0"/>
          <w:numId w:val="39"/>
        </w:numPr>
        <w:tabs>
          <w:tab w:pos="334" w:val="left" w:leader="none"/>
        </w:tabs>
        <w:spacing w:line="276" w:lineRule="auto" w:before="0" w:after="0"/>
        <w:ind w:left="333" w:right="562" w:hanging="227"/>
        <w:jc w:val="left"/>
        <w:rPr>
          <w:sz w:val="18"/>
        </w:rPr>
      </w:pPr>
      <w:r>
        <w:rPr>
          <w:color w:val="231F20"/>
          <w:w w:val="105"/>
          <w:sz w:val="18"/>
        </w:rPr>
        <w:t>At General Meetings no person may exercise, directly or indirectly, voting rights, with respect to own shares or shares</w:t>
      </w:r>
      <w:r>
        <w:rPr>
          <w:color w:val="231F20"/>
          <w:spacing w:val="-8"/>
          <w:w w:val="105"/>
          <w:sz w:val="18"/>
        </w:rPr>
        <w:t> </w:t>
      </w:r>
      <w:r>
        <w:rPr>
          <w:color w:val="231F20"/>
          <w:w w:val="105"/>
          <w:sz w:val="18"/>
        </w:rPr>
        <w:t>represented</w:t>
      </w:r>
      <w:r>
        <w:rPr>
          <w:color w:val="231F20"/>
          <w:spacing w:val="-7"/>
          <w:w w:val="105"/>
          <w:sz w:val="18"/>
        </w:rPr>
        <w:t> </w:t>
      </w:r>
      <w:r>
        <w:rPr>
          <w:color w:val="231F20"/>
          <w:w w:val="105"/>
          <w:sz w:val="18"/>
        </w:rPr>
        <w:t>by</w:t>
      </w:r>
      <w:r>
        <w:rPr>
          <w:color w:val="231F20"/>
          <w:spacing w:val="-7"/>
          <w:w w:val="105"/>
          <w:sz w:val="18"/>
        </w:rPr>
        <w:t> </w:t>
      </w:r>
      <w:r>
        <w:rPr>
          <w:color w:val="231F20"/>
          <w:w w:val="105"/>
          <w:sz w:val="18"/>
        </w:rPr>
        <w:t>proxy,</w:t>
      </w:r>
      <w:r>
        <w:rPr>
          <w:color w:val="231F20"/>
          <w:spacing w:val="-7"/>
          <w:w w:val="105"/>
          <w:sz w:val="18"/>
        </w:rPr>
        <w:t> </w:t>
      </w:r>
      <w:r>
        <w:rPr>
          <w:color w:val="231F20"/>
          <w:w w:val="105"/>
          <w:sz w:val="18"/>
        </w:rPr>
        <w:t>in</w:t>
      </w:r>
      <w:r>
        <w:rPr>
          <w:color w:val="231F20"/>
          <w:spacing w:val="-7"/>
          <w:w w:val="105"/>
          <w:sz w:val="18"/>
        </w:rPr>
        <w:t> </w:t>
      </w:r>
      <w:r>
        <w:rPr>
          <w:color w:val="231F20"/>
          <w:w w:val="105"/>
          <w:sz w:val="18"/>
        </w:rPr>
        <w:t>excess</w:t>
      </w:r>
      <w:r>
        <w:rPr>
          <w:color w:val="231F20"/>
          <w:spacing w:val="-7"/>
          <w:w w:val="105"/>
          <w:sz w:val="18"/>
        </w:rPr>
        <w:t> </w:t>
      </w:r>
      <w:r>
        <w:rPr>
          <w:color w:val="231F20"/>
          <w:w w:val="105"/>
          <w:sz w:val="18"/>
        </w:rPr>
        <w:t>of</w:t>
      </w:r>
      <w:r>
        <w:rPr>
          <w:color w:val="231F20"/>
          <w:spacing w:val="-7"/>
          <w:w w:val="105"/>
          <w:sz w:val="18"/>
        </w:rPr>
        <w:t> </w:t>
      </w:r>
      <w:r>
        <w:rPr>
          <w:color w:val="231F20"/>
          <w:w w:val="105"/>
          <w:sz w:val="18"/>
        </w:rPr>
        <w:t>5%</w:t>
      </w:r>
      <w:r>
        <w:rPr>
          <w:color w:val="231F20"/>
          <w:spacing w:val="-7"/>
          <w:w w:val="105"/>
          <w:sz w:val="18"/>
        </w:rPr>
        <w:t> </w:t>
      </w:r>
      <w:r>
        <w:rPr>
          <w:color w:val="231F20"/>
          <w:w w:val="105"/>
          <w:sz w:val="18"/>
        </w:rPr>
        <w:t>of</w:t>
      </w:r>
      <w:r>
        <w:rPr>
          <w:color w:val="231F20"/>
          <w:spacing w:val="-7"/>
          <w:w w:val="105"/>
          <w:sz w:val="18"/>
        </w:rPr>
        <w:t> </w:t>
      </w:r>
      <w:r>
        <w:rPr>
          <w:color w:val="231F20"/>
          <w:w w:val="105"/>
          <w:sz w:val="18"/>
        </w:rPr>
        <w:t>the</w:t>
      </w:r>
      <w:r>
        <w:rPr>
          <w:color w:val="231F20"/>
          <w:spacing w:val="-7"/>
          <w:w w:val="105"/>
          <w:sz w:val="18"/>
        </w:rPr>
        <w:t> </w:t>
      </w:r>
      <w:r>
        <w:rPr>
          <w:color w:val="231F20"/>
          <w:w w:val="105"/>
          <w:sz w:val="18"/>
        </w:rPr>
        <w:t>share capital as recorded in the commercial register. Legal entities that are linked to one another through capital, voting rights, management or in any other manner, as well as all natural persons or legal entities achieving an understanding</w:t>
      </w:r>
      <w:r>
        <w:rPr>
          <w:color w:val="231F20"/>
          <w:spacing w:val="-10"/>
          <w:w w:val="105"/>
          <w:sz w:val="18"/>
        </w:rPr>
        <w:t> </w:t>
      </w:r>
      <w:r>
        <w:rPr>
          <w:color w:val="231F20"/>
          <w:w w:val="105"/>
          <w:sz w:val="18"/>
        </w:rPr>
        <w:t>or</w:t>
      </w:r>
      <w:r>
        <w:rPr>
          <w:color w:val="231F20"/>
          <w:spacing w:val="-9"/>
          <w:w w:val="105"/>
          <w:sz w:val="18"/>
        </w:rPr>
        <w:t> </w:t>
      </w:r>
      <w:r>
        <w:rPr>
          <w:color w:val="231F20"/>
          <w:w w:val="105"/>
          <w:sz w:val="18"/>
        </w:rPr>
        <w:t>forming</w:t>
      </w:r>
      <w:r>
        <w:rPr>
          <w:color w:val="231F20"/>
          <w:spacing w:val="-10"/>
          <w:w w:val="105"/>
          <w:sz w:val="18"/>
        </w:rPr>
        <w:t> </w:t>
      </w:r>
      <w:r>
        <w:rPr>
          <w:color w:val="231F20"/>
          <w:w w:val="105"/>
          <w:sz w:val="18"/>
        </w:rPr>
        <w:t>a</w:t>
      </w:r>
      <w:r>
        <w:rPr>
          <w:color w:val="231F20"/>
          <w:spacing w:val="-9"/>
          <w:w w:val="105"/>
          <w:sz w:val="18"/>
        </w:rPr>
        <w:t> </w:t>
      </w:r>
      <w:r>
        <w:rPr>
          <w:color w:val="231F20"/>
          <w:w w:val="105"/>
          <w:sz w:val="18"/>
        </w:rPr>
        <w:t>syndicate</w:t>
      </w:r>
      <w:r>
        <w:rPr>
          <w:color w:val="231F20"/>
          <w:spacing w:val="-9"/>
          <w:w w:val="105"/>
          <w:sz w:val="18"/>
        </w:rPr>
        <w:t> </w:t>
      </w:r>
      <w:r>
        <w:rPr>
          <w:color w:val="231F20"/>
          <w:w w:val="105"/>
          <w:sz w:val="18"/>
        </w:rPr>
        <w:t>or</w:t>
      </w:r>
      <w:r>
        <w:rPr>
          <w:color w:val="231F20"/>
          <w:spacing w:val="-10"/>
          <w:w w:val="105"/>
          <w:sz w:val="18"/>
        </w:rPr>
        <w:t> </w:t>
      </w:r>
      <w:r>
        <w:rPr>
          <w:color w:val="231F20"/>
          <w:w w:val="105"/>
          <w:sz w:val="18"/>
        </w:rPr>
        <w:t>otherwise</w:t>
      </w:r>
      <w:r>
        <w:rPr>
          <w:color w:val="231F20"/>
          <w:spacing w:val="-9"/>
          <w:w w:val="105"/>
          <w:sz w:val="18"/>
        </w:rPr>
        <w:t> </w:t>
      </w:r>
      <w:r>
        <w:rPr>
          <w:color w:val="231F20"/>
          <w:w w:val="105"/>
          <w:sz w:val="18"/>
        </w:rPr>
        <w:t>acting in</w:t>
      </w:r>
      <w:r>
        <w:rPr>
          <w:color w:val="231F20"/>
          <w:spacing w:val="-15"/>
          <w:w w:val="105"/>
          <w:sz w:val="18"/>
        </w:rPr>
        <w:t> </w:t>
      </w:r>
      <w:r>
        <w:rPr>
          <w:color w:val="231F20"/>
          <w:spacing w:val="2"/>
          <w:w w:val="105"/>
          <w:sz w:val="18"/>
        </w:rPr>
        <w:t>concert</w:t>
      </w:r>
      <w:r>
        <w:rPr>
          <w:color w:val="231F20"/>
          <w:spacing w:val="-14"/>
          <w:w w:val="105"/>
          <w:sz w:val="18"/>
        </w:rPr>
        <w:t> </w:t>
      </w:r>
      <w:r>
        <w:rPr>
          <w:color w:val="231F20"/>
          <w:w w:val="105"/>
          <w:sz w:val="18"/>
        </w:rPr>
        <w:t>to</w:t>
      </w:r>
      <w:r>
        <w:rPr>
          <w:color w:val="231F20"/>
          <w:spacing w:val="-15"/>
          <w:w w:val="105"/>
          <w:sz w:val="18"/>
        </w:rPr>
        <w:t> </w:t>
      </w:r>
      <w:r>
        <w:rPr>
          <w:color w:val="231F20"/>
          <w:w w:val="105"/>
          <w:sz w:val="18"/>
        </w:rPr>
        <w:t>circumvent</w:t>
      </w:r>
      <w:r>
        <w:rPr>
          <w:color w:val="231F20"/>
          <w:spacing w:val="-14"/>
          <w:w w:val="105"/>
          <w:sz w:val="18"/>
        </w:rPr>
        <w:t> </w:t>
      </w:r>
      <w:r>
        <w:rPr>
          <w:color w:val="231F20"/>
          <w:w w:val="105"/>
          <w:sz w:val="18"/>
        </w:rPr>
        <w:t>such</w:t>
      </w:r>
      <w:r>
        <w:rPr>
          <w:color w:val="231F20"/>
          <w:spacing w:val="-15"/>
          <w:w w:val="105"/>
          <w:sz w:val="18"/>
        </w:rPr>
        <w:t> </w:t>
      </w:r>
      <w:r>
        <w:rPr>
          <w:color w:val="231F20"/>
          <w:w w:val="105"/>
          <w:sz w:val="18"/>
        </w:rPr>
        <w:t>a</w:t>
      </w:r>
      <w:r>
        <w:rPr>
          <w:color w:val="231F20"/>
          <w:spacing w:val="-14"/>
          <w:w w:val="105"/>
          <w:sz w:val="18"/>
        </w:rPr>
        <w:t> </w:t>
      </w:r>
      <w:r>
        <w:rPr>
          <w:color w:val="231F20"/>
          <w:w w:val="105"/>
          <w:sz w:val="18"/>
        </w:rPr>
        <w:t>limit,</w:t>
      </w:r>
      <w:r>
        <w:rPr>
          <w:color w:val="231F20"/>
          <w:spacing w:val="-15"/>
          <w:w w:val="105"/>
          <w:sz w:val="18"/>
        </w:rPr>
        <w:t> </w:t>
      </w:r>
      <w:r>
        <w:rPr>
          <w:color w:val="231F20"/>
          <w:w w:val="105"/>
          <w:sz w:val="18"/>
        </w:rPr>
        <w:t>shall</w:t>
      </w:r>
      <w:r>
        <w:rPr>
          <w:color w:val="231F20"/>
          <w:spacing w:val="-15"/>
          <w:w w:val="105"/>
          <w:sz w:val="18"/>
        </w:rPr>
        <w:t> </w:t>
      </w:r>
      <w:r>
        <w:rPr>
          <w:color w:val="231F20"/>
          <w:w w:val="105"/>
          <w:sz w:val="18"/>
        </w:rPr>
        <w:t>be</w:t>
      </w:r>
      <w:r>
        <w:rPr>
          <w:color w:val="231F20"/>
          <w:spacing w:val="-14"/>
          <w:w w:val="105"/>
          <w:sz w:val="18"/>
        </w:rPr>
        <w:t> </w:t>
      </w:r>
      <w:r>
        <w:rPr>
          <w:color w:val="231F20"/>
          <w:w w:val="105"/>
          <w:sz w:val="18"/>
        </w:rPr>
        <w:t>counted</w:t>
      </w:r>
      <w:r>
        <w:rPr>
          <w:color w:val="231F20"/>
          <w:spacing w:val="-15"/>
          <w:w w:val="105"/>
          <w:sz w:val="18"/>
        </w:rPr>
        <w:t> </w:t>
      </w:r>
      <w:r>
        <w:rPr>
          <w:color w:val="231F20"/>
          <w:w w:val="105"/>
          <w:sz w:val="18"/>
        </w:rPr>
        <w:t>as one</w:t>
      </w:r>
      <w:r>
        <w:rPr>
          <w:color w:val="231F20"/>
          <w:spacing w:val="-7"/>
          <w:w w:val="105"/>
          <w:sz w:val="18"/>
        </w:rPr>
        <w:t> </w:t>
      </w:r>
      <w:r>
        <w:rPr>
          <w:color w:val="231F20"/>
          <w:w w:val="105"/>
          <w:sz w:val="18"/>
        </w:rPr>
        <w:t>shareholder.</w:t>
      </w:r>
    </w:p>
    <w:p>
      <w:pPr>
        <w:pStyle w:val="ListParagraph"/>
        <w:numPr>
          <w:ilvl w:val="0"/>
          <w:numId w:val="39"/>
        </w:numPr>
        <w:tabs>
          <w:tab w:pos="334" w:val="left" w:leader="none"/>
        </w:tabs>
        <w:spacing w:line="276" w:lineRule="auto" w:before="0" w:after="0"/>
        <w:ind w:left="333" w:right="581" w:hanging="227"/>
        <w:jc w:val="left"/>
        <w:rPr>
          <w:sz w:val="18"/>
        </w:rPr>
      </w:pPr>
      <w:r>
        <w:rPr>
          <w:color w:val="231F20"/>
          <w:sz w:val="18"/>
        </w:rPr>
        <w:t>The foregoing limit does not apply to shares received and held by a shareholder pursuant to an acquisition of an enterprise, or </w:t>
      </w:r>
      <w:r>
        <w:rPr>
          <w:color w:val="231F20"/>
          <w:spacing w:val="2"/>
          <w:sz w:val="18"/>
        </w:rPr>
        <w:t>parts </w:t>
      </w:r>
      <w:r>
        <w:rPr>
          <w:color w:val="231F20"/>
          <w:sz w:val="18"/>
        </w:rPr>
        <w:t>of an enterprise or participations as referred in art. 5 </w:t>
      </w:r>
      <w:r>
        <w:rPr>
          <w:color w:val="231F20"/>
          <w:spacing w:val="-3"/>
          <w:sz w:val="18"/>
        </w:rPr>
        <w:t>par.</w:t>
      </w:r>
      <w:r>
        <w:rPr>
          <w:color w:val="231F20"/>
          <w:spacing w:val="-19"/>
          <w:sz w:val="18"/>
        </w:rPr>
        <w:t> </w:t>
      </w:r>
      <w:r>
        <w:rPr>
          <w:color w:val="231F20"/>
          <w:sz w:val="18"/>
        </w:rPr>
        <w:t>5.</w:t>
      </w:r>
    </w:p>
    <w:p>
      <w:pPr>
        <w:pStyle w:val="ListParagraph"/>
        <w:numPr>
          <w:ilvl w:val="0"/>
          <w:numId w:val="39"/>
        </w:numPr>
        <w:tabs>
          <w:tab w:pos="334" w:val="left" w:leader="none"/>
        </w:tabs>
        <w:spacing w:line="276" w:lineRule="auto" w:before="0" w:after="0"/>
        <w:ind w:left="333" w:right="669" w:hanging="227"/>
        <w:jc w:val="left"/>
        <w:rPr>
          <w:sz w:val="18"/>
        </w:rPr>
      </w:pPr>
      <w:r>
        <w:rPr>
          <w:color w:val="231F20"/>
          <w:sz w:val="18"/>
        </w:rPr>
        <w:t>In order to permit the exercise of voting rights in respect of shares deposited with banks, the Board of Directors may by means of regulations or agreements with banks </w:t>
      </w:r>
      <w:r>
        <w:rPr>
          <w:color w:val="231F20"/>
          <w:spacing w:val="2"/>
          <w:sz w:val="18"/>
        </w:rPr>
        <w:t>depart </w:t>
      </w:r>
      <w:r>
        <w:rPr>
          <w:color w:val="231F20"/>
          <w:sz w:val="18"/>
        </w:rPr>
        <w:t>from the limit foreseen in this</w:t>
      </w:r>
      <w:r>
        <w:rPr>
          <w:color w:val="231F20"/>
          <w:spacing w:val="-29"/>
          <w:sz w:val="18"/>
        </w:rPr>
        <w:t> </w:t>
      </w:r>
      <w:r>
        <w:rPr>
          <w:color w:val="231F20"/>
          <w:sz w:val="18"/>
        </w:rPr>
        <w:t>article.</w:t>
      </w:r>
    </w:p>
    <w:p>
      <w:pPr>
        <w:pStyle w:val="BodyText"/>
        <w:spacing w:line="276" w:lineRule="auto"/>
        <w:ind w:left="333" w:right="816" w:firstLine="226"/>
      </w:pPr>
      <w:r>
        <w:rPr>
          <w:color w:val="231F20"/>
        </w:rPr>
        <w:t>It may also depart from such a limit within the framework of the regulations referred to in art. 5 par. 6 and par. 9.</w:t>
      </w:r>
    </w:p>
    <w:p>
      <w:pPr>
        <w:pStyle w:val="BodyText"/>
        <w:spacing w:line="276" w:lineRule="auto"/>
        <w:ind w:left="333" w:right="922" w:firstLine="226"/>
      </w:pPr>
      <w:r>
        <w:rPr>
          <w:color w:val="231F20"/>
        </w:rPr>
        <w:t>In addition, this limit shall not apply to the exercise of voting rights pursuant to the statutory rules on institutional shareholder representatives.</w:t>
      </w:r>
    </w:p>
    <w:p>
      <w:pPr>
        <w:pStyle w:val="BodyText"/>
        <w:spacing w:before="10"/>
        <w:rPr>
          <w:sz w:val="19"/>
        </w:rPr>
      </w:pPr>
    </w:p>
    <w:p>
      <w:pPr>
        <w:pStyle w:val="BodyText"/>
        <w:ind w:left="106"/>
      </w:pPr>
      <w:r>
        <w:rPr>
          <w:color w:val="231F20"/>
          <w:w w:val="105"/>
        </w:rPr>
        <w:t>Article 12</w:t>
      </w:r>
    </w:p>
    <w:p>
      <w:pPr>
        <w:pStyle w:val="Heading3"/>
        <w:spacing w:before="31"/>
        <w:ind w:left="106"/>
      </w:pPr>
      <w:r>
        <w:rPr>
          <w:color w:val="586670"/>
          <w:w w:val="110"/>
        </w:rPr>
        <w:t>Quorum and</w:t>
      </w:r>
      <w:r>
        <w:rPr>
          <w:color w:val="586670"/>
          <w:spacing w:val="18"/>
          <w:w w:val="110"/>
        </w:rPr>
        <w:t> </w:t>
      </w:r>
      <w:r>
        <w:rPr>
          <w:color w:val="586670"/>
          <w:w w:val="110"/>
        </w:rPr>
        <w:t>decisions</w:t>
      </w:r>
    </w:p>
    <w:p>
      <w:pPr>
        <w:pStyle w:val="ListParagraph"/>
        <w:numPr>
          <w:ilvl w:val="0"/>
          <w:numId w:val="40"/>
        </w:numPr>
        <w:tabs>
          <w:tab w:pos="334" w:val="left" w:leader="none"/>
        </w:tabs>
        <w:spacing w:line="276" w:lineRule="auto" w:before="31" w:after="0"/>
        <w:ind w:left="333" w:right="783" w:hanging="227"/>
        <w:jc w:val="left"/>
        <w:rPr>
          <w:sz w:val="18"/>
        </w:rPr>
      </w:pPr>
      <w:r>
        <w:rPr>
          <w:color w:val="231F20"/>
          <w:sz w:val="18"/>
        </w:rPr>
        <w:t>General Meetings shall be duly constituted irrespective of the number of shareholders present or of shares represented.</w:t>
      </w:r>
    </w:p>
    <w:p>
      <w:pPr>
        <w:pStyle w:val="ListParagraph"/>
        <w:numPr>
          <w:ilvl w:val="0"/>
          <w:numId w:val="40"/>
        </w:numPr>
        <w:tabs>
          <w:tab w:pos="334" w:val="left" w:leader="none"/>
        </w:tabs>
        <w:spacing w:line="276" w:lineRule="auto" w:before="0" w:after="0"/>
        <w:ind w:left="333" w:right="616" w:hanging="227"/>
        <w:jc w:val="left"/>
        <w:rPr>
          <w:sz w:val="18"/>
        </w:rPr>
      </w:pPr>
      <w:r>
        <w:rPr>
          <w:color w:val="231F20"/>
          <w:sz w:val="18"/>
        </w:rPr>
        <w:t>Unless provided otherwise by law or the Articles of Association, shareholders’ resolutions and elections shall be decided by an absolute majority of the shares represented.</w:t>
      </w:r>
    </w:p>
    <w:p>
      <w:pPr>
        <w:pStyle w:val="ListParagraph"/>
        <w:numPr>
          <w:ilvl w:val="0"/>
          <w:numId w:val="40"/>
        </w:numPr>
        <w:tabs>
          <w:tab w:pos="334" w:val="left" w:leader="none"/>
        </w:tabs>
        <w:spacing w:line="276" w:lineRule="auto" w:before="0" w:after="0"/>
        <w:ind w:left="333" w:right="599" w:hanging="227"/>
        <w:jc w:val="left"/>
        <w:rPr>
          <w:sz w:val="18"/>
        </w:rPr>
      </w:pPr>
      <w:r>
        <w:rPr>
          <w:color w:val="231F20"/>
          <w:sz w:val="18"/>
        </w:rPr>
        <w:t>Votes shall be taken either on a show of hands or by electronic voting unless a vote by written ballot is  ordered by the Presiding officer of the meeting. The Presiding officer may at any time order to repeat an election or resolution, if he doubts the results of the</w:t>
      </w:r>
      <w:r>
        <w:rPr>
          <w:color w:val="231F20"/>
          <w:spacing w:val="6"/>
          <w:sz w:val="18"/>
        </w:rPr>
        <w:t> </w:t>
      </w:r>
      <w:r>
        <w:rPr>
          <w:color w:val="231F20"/>
          <w:sz w:val="18"/>
        </w:rPr>
        <w:t>vote.</w:t>
      </w:r>
    </w:p>
    <w:p>
      <w:pPr>
        <w:spacing w:after="0" w:line="276" w:lineRule="auto"/>
        <w:jc w:val="left"/>
        <w:rPr>
          <w:sz w:val="18"/>
        </w:rPr>
        <w:sectPr>
          <w:type w:val="continuous"/>
          <w:pgSz w:w="11910" w:h="14750"/>
          <w:pgMar w:top="540" w:bottom="280" w:left="460" w:right="460"/>
          <w:cols w:num="2" w:equalWidth="0">
            <w:col w:w="5193" w:space="79"/>
            <w:col w:w="5718"/>
          </w:cols>
        </w:sectPr>
      </w:pPr>
    </w:p>
    <w:p>
      <w:pPr>
        <w:pStyle w:val="BodyText"/>
        <w:rPr>
          <w:sz w:val="20"/>
        </w:rPr>
      </w:pPr>
    </w:p>
    <w:p>
      <w:pPr>
        <w:pStyle w:val="BodyText"/>
        <w:rPr>
          <w:sz w:val="20"/>
        </w:rPr>
      </w:pPr>
    </w:p>
    <w:p>
      <w:pPr>
        <w:pStyle w:val="BodyText"/>
        <w:spacing w:before="11"/>
        <w:rPr>
          <w:sz w:val="15"/>
        </w:rPr>
      </w:pPr>
    </w:p>
    <w:p>
      <w:pPr>
        <w:spacing w:after="0"/>
        <w:rPr>
          <w:sz w:val="15"/>
        </w:rPr>
        <w:sectPr>
          <w:pgSz w:w="11910" w:h="14750"/>
          <w:pgMar w:header="642" w:footer="509" w:top="840" w:bottom="700" w:left="460" w:right="460"/>
        </w:sectPr>
      </w:pPr>
    </w:p>
    <w:p>
      <w:pPr>
        <w:pStyle w:val="BodyText"/>
        <w:spacing w:line="276" w:lineRule="auto" w:before="106"/>
        <w:ind w:left="787" w:right="78"/>
      </w:pPr>
      <w:r>
        <w:rPr>
          <w:color w:val="231F20"/>
        </w:rPr>
        <w:t>In this case, the preceding election or resolution is deemed not having taken place.</w:t>
      </w:r>
    </w:p>
    <w:p>
      <w:pPr>
        <w:pStyle w:val="ListParagraph"/>
        <w:numPr>
          <w:ilvl w:val="0"/>
          <w:numId w:val="40"/>
        </w:numPr>
        <w:tabs>
          <w:tab w:pos="788" w:val="left" w:leader="none"/>
        </w:tabs>
        <w:spacing w:line="276" w:lineRule="auto" w:before="0" w:after="0"/>
        <w:ind w:left="787" w:right="59" w:hanging="227"/>
        <w:jc w:val="left"/>
        <w:rPr>
          <w:sz w:val="18"/>
        </w:rPr>
      </w:pPr>
      <w:r>
        <w:rPr>
          <w:color w:val="231F20"/>
          <w:sz w:val="18"/>
        </w:rPr>
        <w:t>If the first ballot fails to result in an election and more than one candidate is standing for election, the Presiding officer shall order a second ballot, in which a relative majority shall be</w:t>
      </w:r>
      <w:r>
        <w:rPr>
          <w:color w:val="231F20"/>
          <w:spacing w:val="-9"/>
          <w:sz w:val="18"/>
        </w:rPr>
        <w:t> </w:t>
      </w:r>
      <w:r>
        <w:rPr>
          <w:color w:val="231F20"/>
          <w:sz w:val="18"/>
        </w:rPr>
        <w:t>decisive.</w:t>
      </w:r>
    </w:p>
    <w:p>
      <w:pPr>
        <w:pStyle w:val="BodyText"/>
        <w:spacing w:before="6"/>
        <w:rPr>
          <w:sz w:val="20"/>
        </w:rPr>
      </w:pPr>
    </w:p>
    <w:p>
      <w:pPr>
        <w:pStyle w:val="BodyText"/>
        <w:ind w:left="560"/>
      </w:pPr>
      <w:r>
        <w:rPr>
          <w:color w:val="231F20"/>
          <w:w w:val="105"/>
        </w:rPr>
        <w:t>Article 13</w:t>
      </w:r>
    </w:p>
    <w:p>
      <w:pPr>
        <w:pStyle w:val="Heading3"/>
        <w:spacing w:before="31"/>
      </w:pPr>
      <w:r>
        <w:rPr>
          <w:color w:val="586670"/>
          <w:w w:val="110"/>
        </w:rPr>
        <w:t>Special quorum</w:t>
      </w:r>
    </w:p>
    <w:p>
      <w:pPr>
        <w:pStyle w:val="BodyText"/>
        <w:spacing w:line="276" w:lineRule="auto" w:before="31"/>
        <w:ind w:left="560" w:right="30"/>
      </w:pPr>
      <w:r>
        <w:rPr>
          <w:color w:val="231F20"/>
        </w:rPr>
        <w:t>The approval of at least two thirds of the shares represented and the absolute majority of the nominal value represented at a General Meeting shall be required for resolutions with respect</w:t>
      </w:r>
      <w:r>
        <w:rPr>
          <w:color w:val="231F20"/>
          <w:spacing w:val="-3"/>
        </w:rPr>
        <w:t> to:</w:t>
      </w:r>
    </w:p>
    <w:p>
      <w:pPr>
        <w:pStyle w:val="ListParagraph"/>
        <w:numPr>
          <w:ilvl w:val="0"/>
          <w:numId w:val="41"/>
        </w:numPr>
        <w:tabs>
          <w:tab w:pos="788" w:val="left" w:leader="none"/>
        </w:tabs>
        <w:spacing w:line="208" w:lineRule="exact" w:before="0" w:after="0"/>
        <w:ind w:left="787" w:right="0" w:hanging="227"/>
        <w:jc w:val="left"/>
        <w:rPr>
          <w:sz w:val="18"/>
        </w:rPr>
      </w:pPr>
      <w:r>
        <w:rPr>
          <w:color w:val="231F20"/>
          <w:sz w:val="18"/>
        </w:rPr>
        <w:t>a modification of the purpose of</w:t>
      </w:r>
      <w:r>
        <w:rPr>
          <w:color w:val="231F20"/>
          <w:spacing w:val="-7"/>
          <w:sz w:val="18"/>
        </w:rPr>
        <w:t> </w:t>
      </w:r>
      <w:r>
        <w:rPr>
          <w:color w:val="231F20"/>
          <w:sz w:val="18"/>
        </w:rPr>
        <w:t>Nestlé;</w:t>
      </w:r>
    </w:p>
    <w:p>
      <w:pPr>
        <w:pStyle w:val="ListParagraph"/>
        <w:numPr>
          <w:ilvl w:val="0"/>
          <w:numId w:val="41"/>
        </w:numPr>
        <w:tabs>
          <w:tab w:pos="788" w:val="left" w:leader="none"/>
        </w:tabs>
        <w:spacing w:line="240" w:lineRule="auto" w:before="31" w:after="0"/>
        <w:ind w:left="787" w:right="0" w:hanging="227"/>
        <w:jc w:val="left"/>
        <w:rPr>
          <w:sz w:val="18"/>
        </w:rPr>
      </w:pPr>
      <w:r>
        <w:rPr>
          <w:color w:val="231F20"/>
          <w:sz w:val="18"/>
        </w:rPr>
        <w:t>the creation of shares with increased voting</w:t>
      </w:r>
      <w:r>
        <w:rPr>
          <w:color w:val="231F20"/>
          <w:spacing w:val="34"/>
          <w:sz w:val="18"/>
        </w:rPr>
        <w:t> </w:t>
      </w:r>
      <w:r>
        <w:rPr>
          <w:color w:val="231F20"/>
          <w:sz w:val="18"/>
        </w:rPr>
        <w:t>powers;</w:t>
      </w:r>
    </w:p>
    <w:p>
      <w:pPr>
        <w:pStyle w:val="ListParagraph"/>
        <w:numPr>
          <w:ilvl w:val="0"/>
          <w:numId w:val="41"/>
        </w:numPr>
        <w:tabs>
          <w:tab w:pos="788" w:val="left" w:leader="none"/>
        </w:tabs>
        <w:spacing w:line="276" w:lineRule="auto" w:before="31" w:after="0"/>
        <w:ind w:left="787" w:right="224" w:hanging="227"/>
        <w:jc w:val="left"/>
        <w:rPr>
          <w:sz w:val="18"/>
        </w:rPr>
      </w:pPr>
      <w:r>
        <w:rPr>
          <w:color w:val="231F20"/>
          <w:sz w:val="18"/>
        </w:rPr>
        <w:t>restrictions on the transfer of registered shares and the change or removal of such</w:t>
      </w:r>
      <w:r>
        <w:rPr>
          <w:color w:val="231F20"/>
          <w:spacing w:val="1"/>
          <w:sz w:val="18"/>
        </w:rPr>
        <w:t> </w:t>
      </w:r>
      <w:r>
        <w:rPr>
          <w:color w:val="231F20"/>
          <w:sz w:val="18"/>
        </w:rPr>
        <w:t>restrictions;</w:t>
      </w:r>
    </w:p>
    <w:p>
      <w:pPr>
        <w:pStyle w:val="ListParagraph"/>
        <w:numPr>
          <w:ilvl w:val="0"/>
          <w:numId w:val="41"/>
        </w:numPr>
        <w:tabs>
          <w:tab w:pos="788" w:val="left" w:leader="none"/>
        </w:tabs>
        <w:spacing w:line="208" w:lineRule="exact" w:before="0" w:after="0"/>
        <w:ind w:left="787" w:right="0" w:hanging="227"/>
        <w:jc w:val="left"/>
        <w:rPr>
          <w:sz w:val="18"/>
        </w:rPr>
      </w:pPr>
      <w:r>
        <w:rPr>
          <w:color w:val="231F20"/>
          <w:sz w:val="18"/>
        </w:rPr>
        <w:t>an authorised or conditional increase in share</w:t>
      </w:r>
      <w:r>
        <w:rPr>
          <w:color w:val="231F20"/>
          <w:spacing w:val="15"/>
          <w:sz w:val="18"/>
        </w:rPr>
        <w:t> </w:t>
      </w:r>
      <w:r>
        <w:rPr>
          <w:color w:val="231F20"/>
          <w:sz w:val="18"/>
        </w:rPr>
        <w:t>capital;</w:t>
      </w:r>
    </w:p>
    <w:p>
      <w:pPr>
        <w:pStyle w:val="ListParagraph"/>
        <w:numPr>
          <w:ilvl w:val="0"/>
          <w:numId w:val="41"/>
        </w:numPr>
        <w:tabs>
          <w:tab w:pos="788" w:val="left" w:leader="none"/>
        </w:tabs>
        <w:spacing w:line="276" w:lineRule="auto" w:before="31" w:after="0"/>
        <w:ind w:left="787" w:right="154" w:hanging="227"/>
        <w:jc w:val="left"/>
        <w:rPr>
          <w:sz w:val="18"/>
        </w:rPr>
      </w:pPr>
      <w:r>
        <w:rPr>
          <w:color w:val="231F20"/>
          <w:sz w:val="18"/>
        </w:rPr>
        <w:t>an increase in share capital through the conversion of capital surplus, through a contribution in kind or for the purpose of an acquisition of assets, or a grant of special benefits upon a capital</w:t>
      </w:r>
      <w:r>
        <w:rPr>
          <w:color w:val="231F20"/>
          <w:spacing w:val="-8"/>
          <w:sz w:val="18"/>
        </w:rPr>
        <w:t> </w:t>
      </w:r>
      <w:r>
        <w:rPr>
          <w:color w:val="231F20"/>
          <w:sz w:val="18"/>
        </w:rPr>
        <w:t>increase;</w:t>
      </w:r>
    </w:p>
    <w:p>
      <w:pPr>
        <w:pStyle w:val="ListParagraph"/>
        <w:numPr>
          <w:ilvl w:val="0"/>
          <w:numId w:val="41"/>
        </w:numPr>
        <w:tabs>
          <w:tab w:pos="788" w:val="left" w:leader="none"/>
        </w:tabs>
        <w:spacing w:line="208" w:lineRule="exact" w:before="0" w:after="0"/>
        <w:ind w:left="787" w:right="0" w:hanging="227"/>
        <w:jc w:val="left"/>
        <w:rPr>
          <w:sz w:val="18"/>
        </w:rPr>
      </w:pPr>
      <w:r>
        <w:rPr>
          <w:color w:val="231F20"/>
          <w:sz w:val="18"/>
        </w:rPr>
        <w:t>the restriction or withdrawal of the right to</w:t>
      </w:r>
      <w:r>
        <w:rPr>
          <w:color w:val="231F20"/>
          <w:spacing w:val="-1"/>
          <w:sz w:val="18"/>
        </w:rPr>
        <w:t> </w:t>
      </w:r>
      <w:r>
        <w:rPr>
          <w:color w:val="231F20"/>
          <w:sz w:val="18"/>
        </w:rPr>
        <w:t>subscribe;</w:t>
      </w:r>
    </w:p>
    <w:p>
      <w:pPr>
        <w:pStyle w:val="ListParagraph"/>
        <w:numPr>
          <w:ilvl w:val="0"/>
          <w:numId w:val="41"/>
        </w:numPr>
        <w:tabs>
          <w:tab w:pos="788" w:val="left" w:leader="none"/>
        </w:tabs>
        <w:spacing w:line="240" w:lineRule="auto" w:before="31" w:after="0"/>
        <w:ind w:left="787" w:right="0" w:hanging="227"/>
        <w:jc w:val="left"/>
        <w:rPr>
          <w:sz w:val="18"/>
        </w:rPr>
      </w:pPr>
      <w:r>
        <w:rPr>
          <w:color w:val="231F20"/>
          <w:sz w:val="18"/>
        </w:rPr>
        <w:t>a change of the registered offices of</w:t>
      </w:r>
      <w:r>
        <w:rPr>
          <w:color w:val="231F20"/>
          <w:spacing w:val="-3"/>
          <w:sz w:val="18"/>
        </w:rPr>
        <w:t> </w:t>
      </w:r>
      <w:r>
        <w:rPr>
          <w:color w:val="231F20"/>
          <w:sz w:val="18"/>
        </w:rPr>
        <w:t>Nestlé;</w:t>
      </w:r>
    </w:p>
    <w:p>
      <w:pPr>
        <w:pStyle w:val="ListParagraph"/>
        <w:numPr>
          <w:ilvl w:val="0"/>
          <w:numId w:val="41"/>
        </w:numPr>
        <w:tabs>
          <w:tab w:pos="788" w:val="left" w:leader="none"/>
        </w:tabs>
        <w:spacing w:line="240" w:lineRule="auto" w:before="31" w:after="0"/>
        <w:ind w:left="787" w:right="0" w:hanging="227"/>
        <w:jc w:val="left"/>
        <w:rPr>
          <w:sz w:val="18"/>
        </w:rPr>
      </w:pPr>
      <w:r>
        <w:rPr>
          <w:color w:val="231F20"/>
          <w:sz w:val="18"/>
        </w:rPr>
        <w:t>the dissolution of</w:t>
      </w:r>
      <w:r>
        <w:rPr>
          <w:color w:val="231F20"/>
          <w:spacing w:val="-7"/>
          <w:sz w:val="18"/>
        </w:rPr>
        <w:t> </w:t>
      </w:r>
      <w:r>
        <w:rPr>
          <w:color w:val="231F20"/>
          <w:sz w:val="18"/>
        </w:rPr>
        <w:t>Nestlé;</w:t>
      </w:r>
    </w:p>
    <w:p>
      <w:pPr>
        <w:pStyle w:val="ListParagraph"/>
        <w:numPr>
          <w:ilvl w:val="0"/>
          <w:numId w:val="41"/>
        </w:numPr>
        <w:tabs>
          <w:tab w:pos="788" w:val="left" w:leader="none"/>
        </w:tabs>
        <w:spacing w:line="276" w:lineRule="auto" w:before="31" w:after="0"/>
        <w:ind w:left="787" w:right="573" w:hanging="227"/>
        <w:jc w:val="left"/>
        <w:rPr>
          <w:sz w:val="18"/>
        </w:rPr>
      </w:pPr>
      <w:r>
        <w:rPr>
          <w:color w:val="231F20"/>
          <w:sz w:val="18"/>
        </w:rPr>
        <w:t>restrictions on the exercise of voting rights and the change or removal of such</w:t>
      </w:r>
      <w:r>
        <w:rPr>
          <w:color w:val="231F20"/>
          <w:spacing w:val="5"/>
          <w:sz w:val="18"/>
        </w:rPr>
        <w:t> </w:t>
      </w:r>
      <w:r>
        <w:rPr>
          <w:color w:val="231F20"/>
          <w:sz w:val="18"/>
        </w:rPr>
        <w:t>restrictions;</w:t>
      </w:r>
    </w:p>
    <w:p>
      <w:pPr>
        <w:pStyle w:val="ListParagraph"/>
        <w:numPr>
          <w:ilvl w:val="0"/>
          <w:numId w:val="41"/>
        </w:numPr>
        <w:tabs>
          <w:tab w:pos="788" w:val="left" w:leader="none"/>
        </w:tabs>
        <w:spacing w:line="276" w:lineRule="auto" w:before="0" w:after="0"/>
        <w:ind w:left="787" w:right="84" w:hanging="227"/>
        <w:jc w:val="left"/>
        <w:rPr>
          <w:sz w:val="18"/>
        </w:rPr>
      </w:pPr>
      <w:r>
        <w:rPr>
          <w:color w:val="231F20"/>
          <w:sz w:val="18"/>
        </w:rPr>
        <w:t>the limitation on registration (art. 5 </w:t>
      </w:r>
      <w:r>
        <w:rPr>
          <w:color w:val="231F20"/>
          <w:spacing w:val="-3"/>
          <w:sz w:val="18"/>
        </w:rPr>
        <w:t>par. </w:t>
      </w:r>
      <w:r>
        <w:rPr>
          <w:color w:val="231F20"/>
          <w:sz w:val="18"/>
        </w:rPr>
        <w:t>4 to 7) and the limitation on voting rights (art. </w:t>
      </w:r>
      <w:r>
        <w:rPr>
          <w:color w:val="231F20"/>
          <w:spacing w:val="-10"/>
          <w:sz w:val="18"/>
        </w:rPr>
        <w:t>11 </w:t>
      </w:r>
      <w:r>
        <w:rPr>
          <w:color w:val="231F20"/>
          <w:spacing w:val="-3"/>
          <w:sz w:val="18"/>
        </w:rPr>
        <w:t>par. </w:t>
      </w:r>
      <w:r>
        <w:rPr>
          <w:color w:val="231F20"/>
          <w:sz w:val="18"/>
        </w:rPr>
        <w:t>2, 3 and 4) and the change or removal of such</w:t>
      </w:r>
      <w:r>
        <w:rPr>
          <w:color w:val="231F20"/>
          <w:spacing w:val="-4"/>
          <w:sz w:val="18"/>
        </w:rPr>
        <w:t> </w:t>
      </w:r>
      <w:r>
        <w:rPr>
          <w:color w:val="231F20"/>
          <w:sz w:val="18"/>
        </w:rPr>
        <w:t>limitations;</w:t>
      </w:r>
    </w:p>
    <w:p>
      <w:pPr>
        <w:pStyle w:val="ListParagraph"/>
        <w:numPr>
          <w:ilvl w:val="0"/>
          <w:numId w:val="41"/>
        </w:numPr>
        <w:tabs>
          <w:tab w:pos="788" w:val="left" w:leader="none"/>
        </w:tabs>
        <w:spacing w:line="208" w:lineRule="exact" w:before="0" w:after="0"/>
        <w:ind w:left="787" w:right="0" w:hanging="227"/>
        <w:jc w:val="left"/>
        <w:rPr>
          <w:sz w:val="18"/>
        </w:rPr>
      </w:pPr>
      <w:r>
        <w:rPr>
          <w:color w:val="231F20"/>
          <w:sz w:val="18"/>
        </w:rPr>
        <w:t>the change of the corporate name of Nestlé;</w:t>
      </w:r>
      <w:r>
        <w:rPr>
          <w:color w:val="231F20"/>
          <w:spacing w:val="11"/>
          <w:sz w:val="18"/>
        </w:rPr>
        <w:t> </w:t>
      </w:r>
      <w:r>
        <w:rPr>
          <w:color w:val="231F20"/>
          <w:sz w:val="18"/>
        </w:rPr>
        <w:t>and</w:t>
      </w:r>
    </w:p>
    <w:p>
      <w:pPr>
        <w:pStyle w:val="ListParagraph"/>
        <w:numPr>
          <w:ilvl w:val="0"/>
          <w:numId w:val="41"/>
        </w:numPr>
        <w:tabs>
          <w:tab w:pos="788" w:val="left" w:leader="none"/>
        </w:tabs>
        <w:spacing w:line="240" w:lineRule="auto" w:before="30" w:after="0"/>
        <w:ind w:left="787" w:right="0" w:hanging="227"/>
        <w:jc w:val="left"/>
        <w:rPr>
          <w:sz w:val="18"/>
        </w:rPr>
      </w:pPr>
      <w:r>
        <w:rPr>
          <w:color w:val="231F20"/>
          <w:sz w:val="18"/>
        </w:rPr>
        <w:t>other matters as provided by statutory</w:t>
      </w:r>
      <w:r>
        <w:rPr>
          <w:color w:val="231F20"/>
          <w:spacing w:val="-4"/>
          <w:sz w:val="18"/>
        </w:rPr>
        <w:t> </w:t>
      </w:r>
      <w:r>
        <w:rPr>
          <w:color w:val="231F20"/>
          <w:spacing w:val="-3"/>
          <w:sz w:val="18"/>
        </w:rPr>
        <w:t>law.</w:t>
      </w:r>
    </w:p>
    <w:p>
      <w:pPr>
        <w:pStyle w:val="BodyText"/>
        <w:spacing w:before="4"/>
        <w:rPr>
          <w:sz w:val="23"/>
        </w:rPr>
      </w:pPr>
    </w:p>
    <w:p>
      <w:pPr>
        <w:pStyle w:val="ListParagraph"/>
        <w:numPr>
          <w:ilvl w:val="0"/>
          <w:numId w:val="32"/>
        </w:numPr>
        <w:tabs>
          <w:tab w:pos="780" w:val="left" w:leader="none"/>
        </w:tabs>
        <w:spacing w:line="276" w:lineRule="auto" w:before="0" w:after="0"/>
        <w:ind w:left="560" w:right="3302" w:firstLine="0"/>
        <w:jc w:val="left"/>
        <w:rPr>
          <w:sz w:val="18"/>
        </w:rPr>
      </w:pPr>
      <w:r>
        <w:rPr>
          <w:color w:val="586670"/>
          <w:sz w:val="18"/>
        </w:rPr>
        <w:t>Board of Directors</w:t>
      </w:r>
      <w:r>
        <w:rPr>
          <w:color w:val="231F20"/>
          <w:sz w:val="18"/>
        </w:rPr>
        <w:t> Article</w:t>
      </w:r>
      <w:r>
        <w:rPr>
          <w:color w:val="231F20"/>
          <w:spacing w:val="-2"/>
          <w:sz w:val="18"/>
        </w:rPr>
        <w:t> </w:t>
      </w:r>
      <w:r>
        <w:rPr>
          <w:color w:val="231F20"/>
          <w:spacing w:val="-6"/>
          <w:sz w:val="18"/>
        </w:rPr>
        <w:t>14</w:t>
      </w:r>
    </w:p>
    <w:p>
      <w:pPr>
        <w:pStyle w:val="Heading3"/>
        <w:spacing w:line="208" w:lineRule="exact"/>
      </w:pPr>
      <w:r>
        <w:rPr>
          <w:color w:val="586670"/>
          <w:w w:val="110"/>
        </w:rPr>
        <w:t>Number of Directors</w:t>
      </w:r>
    </w:p>
    <w:p>
      <w:pPr>
        <w:pStyle w:val="BodyText"/>
        <w:spacing w:line="276" w:lineRule="auto" w:before="31"/>
        <w:ind w:left="560" w:right="78"/>
      </w:pPr>
      <w:r>
        <w:rPr>
          <w:color w:val="231F20"/>
        </w:rPr>
        <w:t>The Board of Directors shall consist of at least seven members.</w:t>
      </w:r>
    </w:p>
    <w:p>
      <w:pPr>
        <w:pStyle w:val="BodyText"/>
        <w:spacing w:before="7"/>
        <w:rPr>
          <w:sz w:val="20"/>
        </w:rPr>
      </w:pPr>
    </w:p>
    <w:p>
      <w:pPr>
        <w:pStyle w:val="BodyText"/>
        <w:ind w:left="560"/>
      </w:pPr>
      <w:r>
        <w:rPr>
          <w:color w:val="231F20"/>
          <w:w w:val="105"/>
        </w:rPr>
        <w:t>Article 15</w:t>
      </w:r>
    </w:p>
    <w:p>
      <w:pPr>
        <w:pStyle w:val="Heading3"/>
        <w:spacing w:before="31"/>
      </w:pPr>
      <w:r>
        <w:rPr>
          <w:color w:val="586670"/>
          <w:w w:val="105"/>
        </w:rPr>
        <w:t>Term of office</w:t>
      </w:r>
    </w:p>
    <w:p>
      <w:pPr>
        <w:pStyle w:val="ListParagraph"/>
        <w:numPr>
          <w:ilvl w:val="0"/>
          <w:numId w:val="42"/>
        </w:numPr>
        <w:tabs>
          <w:tab w:pos="788" w:val="left" w:leader="none"/>
        </w:tabs>
        <w:spacing w:line="276" w:lineRule="auto" w:before="31" w:after="0"/>
        <w:ind w:left="787" w:right="0" w:hanging="227"/>
        <w:jc w:val="left"/>
        <w:rPr>
          <w:sz w:val="18"/>
        </w:rPr>
      </w:pPr>
      <w:r>
        <w:rPr>
          <w:color w:val="231F20"/>
          <w:sz w:val="18"/>
        </w:rPr>
        <w:t>The members of the Board of Directors shall be elected  for a term of office of three years by the General Meeting. Each year the Board shall be renewed by rotation, to the extent possible in equal numbers and in  such  manner that, after a period of three years, all members will have been subject to re-election. Directors shall be elected individually.</w:t>
      </w:r>
    </w:p>
    <w:p>
      <w:pPr>
        <w:pStyle w:val="ListParagraph"/>
        <w:numPr>
          <w:ilvl w:val="0"/>
          <w:numId w:val="42"/>
        </w:numPr>
        <w:tabs>
          <w:tab w:pos="788" w:val="left" w:leader="none"/>
        </w:tabs>
        <w:spacing w:line="276" w:lineRule="auto" w:before="0" w:after="0"/>
        <w:ind w:left="787" w:right="101" w:hanging="227"/>
        <w:jc w:val="left"/>
        <w:rPr>
          <w:sz w:val="18"/>
        </w:rPr>
      </w:pPr>
      <w:r>
        <w:rPr>
          <w:color w:val="231F20"/>
          <w:sz w:val="18"/>
        </w:rPr>
        <w:t>In the event of an increase or a decrease in the number of</w:t>
      </w:r>
      <w:r>
        <w:rPr>
          <w:color w:val="231F20"/>
          <w:spacing w:val="11"/>
          <w:sz w:val="18"/>
        </w:rPr>
        <w:t> </w:t>
      </w:r>
      <w:r>
        <w:rPr>
          <w:color w:val="231F20"/>
          <w:sz w:val="18"/>
        </w:rPr>
        <w:t>Directors,</w:t>
      </w:r>
      <w:r>
        <w:rPr>
          <w:color w:val="231F20"/>
          <w:spacing w:val="11"/>
          <w:sz w:val="18"/>
        </w:rPr>
        <w:t> </w:t>
      </w:r>
      <w:r>
        <w:rPr>
          <w:color w:val="231F20"/>
          <w:sz w:val="18"/>
        </w:rPr>
        <w:t>the</w:t>
      </w:r>
      <w:r>
        <w:rPr>
          <w:color w:val="231F20"/>
          <w:spacing w:val="11"/>
          <w:sz w:val="18"/>
        </w:rPr>
        <w:t> </w:t>
      </w:r>
      <w:r>
        <w:rPr>
          <w:color w:val="231F20"/>
          <w:sz w:val="18"/>
        </w:rPr>
        <w:t>Board</w:t>
      </w:r>
      <w:r>
        <w:rPr>
          <w:color w:val="231F20"/>
          <w:spacing w:val="11"/>
          <w:sz w:val="18"/>
        </w:rPr>
        <w:t> </w:t>
      </w:r>
      <w:r>
        <w:rPr>
          <w:color w:val="231F20"/>
          <w:sz w:val="18"/>
        </w:rPr>
        <w:t>of</w:t>
      </w:r>
      <w:r>
        <w:rPr>
          <w:color w:val="231F20"/>
          <w:spacing w:val="11"/>
          <w:sz w:val="18"/>
        </w:rPr>
        <w:t> </w:t>
      </w:r>
      <w:r>
        <w:rPr>
          <w:color w:val="231F20"/>
          <w:sz w:val="18"/>
        </w:rPr>
        <w:t>Directors</w:t>
      </w:r>
      <w:r>
        <w:rPr>
          <w:color w:val="231F20"/>
          <w:spacing w:val="11"/>
          <w:sz w:val="18"/>
        </w:rPr>
        <w:t> </w:t>
      </w:r>
      <w:r>
        <w:rPr>
          <w:color w:val="231F20"/>
          <w:sz w:val="18"/>
        </w:rPr>
        <w:t>shall</w:t>
      </w:r>
      <w:r>
        <w:rPr>
          <w:color w:val="231F20"/>
          <w:spacing w:val="11"/>
          <w:sz w:val="18"/>
        </w:rPr>
        <w:t> </w:t>
      </w:r>
      <w:r>
        <w:rPr>
          <w:color w:val="231F20"/>
          <w:sz w:val="18"/>
        </w:rPr>
        <w:t>establish</w:t>
      </w:r>
      <w:r>
        <w:rPr>
          <w:color w:val="231F20"/>
          <w:spacing w:val="12"/>
          <w:sz w:val="18"/>
        </w:rPr>
        <w:t> </w:t>
      </w:r>
      <w:r>
        <w:rPr>
          <w:color w:val="231F20"/>
          <w:sz w:val="18"/>
        </w:rPr>
        <w:t>a</w:t>
      </w:r>
      <w:r>
        <w:rPr>
          <w:color w:val="231F20"/>
          <w:spacing w:val="11"/>
          <w:sz w:val="18"/>
        </w:rPr>
        <w:t> </w:t>
      </w:r>
      <w:r>
        <w:rPr>
          <w:color w:val="231F20"/>
          <w:sz w:val="18"/>
        </w:rPr>
        <w:t>new</w:t>
      </w:r>
    </w:p>
    <w:p>
      <w:pPr>
        <w:pStyle w:val="BodyText"/>
        <w:spacing w:line="276" w:lineRule="auto" w:before="106"/>
        <w:ind w:left="415" w:right="226"/>
      </w:pPr>
      <w:r>
        <w:rPr/>
        <w:br w:type="column"/>
      </w:r>
      <w:r>
        <w:rPr>
          <w:color w:val="231F20"/>
        </w:rPr>
        <w:t>order of rotation. It follows that the term of office of some members may be less than three years.</w:t>
      </w:r>
    </w:p>
    <w:p>
      <w:pPr>
        <w:pStyle w:val="ListParagraph"/>
        <w:numPr>
          <w:ilvl w:val="0"/>
          <w:numId w:val="42"/>
        </w:numPr>
        <w:tabs>
          <w:tab w:pos="416" w:val="left" w:leader="none"/>
        </w:tabs>
        <w:spacing w:line="276" w:lineRule="auto" w:before="0" w:after="0"/>
        <w:ind w:left="415" w:right="212" w:hanging="227"/>
        <w:jc w:val="left"/>
        <w:rPr>
          <w:sz w:val="18"/>
        </w:rPr>
      </w:pPr>
      <w:r>
        <w:rPr>
          <w:color w:val="231F20"/>
          <w:sz w:val="18"/>
        </w:rPr>
        <w:t>Members of the Board of Directors whose term of office has expired shall be immediately eligible for</w:t>
      </w:r>
      <w:r>
        <w:rPr>
          <w:color w:val="231F20"/>
          <w:spacing w:val="1"/>
          <w:sz w:val="18"/>
        </w:rPr>
        <w:t> </w:t>
      </w:r>
      <w:r>
        <w:rPr>
          <w:color w:val="231F20"/>
          <w:sz w:val="18"/>
        </w:rPr>
        <w:t>re-election.</w:t>
      </w:r>
    </w:p>
    <w:p>
      <w:pPr>
        <w:pStyle w:val="ListParagraph"/>
        <w:numPr>
          <w:ilvl w:val="0"/>
          <w:numId w:val="42"/>
        </w:numPr>
        <w:tabs>
          <w:tab w:pos="416" w:val="left" w:leader="none"/>
        </w:tabs>
        <w:spacing w:line="276" w:lineRule="auto" w:before="0" w:after="0"/>
        <w:ind w:left="415" w:right="687" w:hanging="227"/>
        <w:jc w:val="left"/>
        <w:rPr>
          <w:sz w:val="18"/>
        </w:rPr>
      </w:pPr>
      <w:r>
        <w:rPr>
          <w:color w:val="231F20"/>
          <w:sz w:val="18"/>
        </w:rPr>
        <w:t>A year shall mean the period running between one Annual General Meeting and the</w:t>
      </w:r>
      <w:r>
        <w:rPr>
          <w:color w:val="231F20"/>
          <w:spacing w:val="6"/>
          <w:sz w:val="18"/>
        </w:rPr>
        <w:t> </w:t>
      </w:r>
      <w:r>
        <w:rPr>
          <w:color w:val="231F20"/>
          <w:sz w:val="18"/>
        </w:rPr>
        <w:t>next.</w:t>
      </w:r>
    </w:p>
    <w:p>
      <w:pPr>
        <w:pStyle w:val="BodyText"/>
        <w:spacing w:before="6"/>
        <w:rPr>
          <w:sz w:val="20"/>
        </w:rPr>
      </w:pPr>
    </w:p>
    <w:p>
      <w:pPr>
        <w:pStyle w:val="BodyText"/>
        <w:ind w:left="188"/>
      </w:pPr>
      <w:r>
        <w:rPr>
          <w:color w:val="231F20"/>
          <w:w w:val="105"/>
        </w:rPr>
        <w:t>Article 16</w:t>
      </w:r>
    </w:p>
    <w:p>
      <w:pPr>
        <w:pStyle w:val="Heading3"/>
        <w:spacing w:before="31"/>
        <w:ind w:left="188"/>
      </w:pPr>
      <w:r>
        <w:rPr>
          <w:color w:val="586670"/>
          <w:w w:val="110"/>
        </w:rPr>
        <w:t>Organisation of the Board; Remuneration</w:t>
      </w:r>
    </w:p>
    <w:p>
      <w:pPr>
        <w:pStyle w:val="ListParagraph"/>
        <w:numPr>
          <w:ilvl w:val="0"/>
          <w:numId w:val="43"/>
        </w:numPr>
        <w:tabs>
          <w:tab w:pos="416" w:val="left" w:leader="none"/>
        </w:tabs>
        <w:spacing w:line="276" w:lineRule="auto" w:before="31" w:after="0"/>
        <w:ind w:left="415" w:right="118" w:hanging="227"/>
        <w:jc w:val="left"/>
        <w:rPr>
          <w:sz w:val="18"/>
        </w:rPr>
      </w:pPr>
      <w:r>
        <w:rPr>
          <w:color w:val="231F20"/>
          <w:sz w:val="18"/>
        </w:rPr>
        <w:t>The</w:t>
      </w:r>
      <w:r>
        <w:rPr>
          <w:color w:val="231F20"/>
          <w:spacing w:val="11"/>
          <w:sz w:val="18"/>
        </w:rPr>
        <w:t> </w:t>
      </w:r>
      <w:r>
        <w:rPr>
          <w:color w:val="231F20"/>
          <w:sz w:val="18"/>
        </w:rPr>
        <w:t>Board</w:t>
      </w:r>
      <w:r>
        <w:rPr>
          <w:color w:val="231F20"/>
          <w:spacing w:val="11"/>
          <w:sz w:val="18"/>
        </w:rPr>
        <w:t> </w:t>
      </w:r>
      <w:r>
        <w:rPr>
          <w:color w:val="231F20"/>
          <w:sz w:val="18"/>
        </w:rPr>
        <w:t>of</w:t>
      </w:r>
      <w:r>
        <w:rPr>
          <w:color w:val="231F20"/>
          <w:spacing w:val="11"/>
          <w:sz w:val="18"/>
        </w:rPr>
        <w:t> </w:t>
      </w:r>
      <w:r>
        <w:rPr>
          <w:color w:val="231F20"/>
          <w:sz w:val="18"/>
        </w:rPr>
        <w:t>Directors</w:t>
      </w:r>
      <w:r>
        <w:rPr>
          <w:color w:val="231F20"/>
          <w:spacing w:val="12"/>
          <w:sz w:val="18"/>
        </w:rPr>
        <w:t> </w:t>
      </w:r>
      <w:r>
        <w:rPr>
          <w:color w:val="231F20"/>
          <w:sz w:val="18"/>
        </w:rPr>
        <w:t>shall</w:t>
      </w:r>
      <w:r>
        <w:rPr>
          <w:color w:val="231F20"/>
          <w:spacing w:val="11"/>
          <w:sz w:val="18"/>
        </w:rPr>
        <w:t> </w:t>
      </w:r>
      <w:r>
        <w:rPr>
          <w:color w:val="231F20"/>
          <w:sz w:val="18"/>
        </w:rPr>
        <w:t>elect</w:t>
      </w:r>
      <w:r>
        <w:rPr>
          <w:color w:val="231F20"/>
          <w:spacing w:val="11"/>
          <w:sz w:val="18"/>
        </w:rPr>
        <w:t> </w:t>
      </w:r>
      <w:r>
        <w:rPr>
          <w:color w:val="231F20"/>
          <w:sz w:val="18"/>
        </w:rPr>
        <w:t>its</w:t>
      </w:r>
      <w:r>
        <w:rPr>
          <w:color w:val="231F20"/>
          <w:spacing w:val="12"/>
          <w:sz w:val="18"/>
        </w:rPr>
        <w:t> </w:t>
      </w:r>
      <w:r>
        <w:rPr>
          <w:color w:val="231F20"/>
          <w:sz w:val="18"/>
        </w:rPr>
        <w:t>Chairman</w:t>
      </w:r>
      <w:r>
        <w:rPr>
          <w:color w:val="231F20"/>
          <w:spacing w:val="11"/>
          <w:sz w:val="18"/>
        </w:rPr>
        <w:t> </w:t>
      </w:r>
      <w:r>
        <w:rPr>
          <w:color w:val="231F20"/>
          <w:sz w:val="18"/>
        </w:rPr>
        <w:t>and</w:t>
      </w:r>
      <w:r>
        <w:rPr>
          <w:color w:val="231F20"/>
          <w:spacing w:val="11"/>
          <w:sz w:val="18"/>
        </w:rPr>
        <w:t> </w:t>
      </w:r>
      <w:r>
        <w:rPr>
          <w:color w:val="231F20"/>
          <w:sz w:val="18"/>
        </w:rPr>
        <w:t>one</w:t>
      </w:r>
      <w:r>
        <w:rPr>
          <w:color w:val="231F20"/>
          <w:spacing w:val="16"/>
          <w:sz w:val="18"/>
        </w:rPr>
        <w:t> </w:t>
      </w:r>
      <w:r>
        <w:rPr>
          <w:color w:val="231F20"/>
          <w:sz w:val="18"/>
        </w:rPr>
        <w:t>or</w:t>
      </w:r>
      <w:r>
        <w:rPr>
          <w:color w:val="231F20"/>
          <w:spacing w:val="-3"/>
          <w:sz w:val="18"/>
        </w:rPr>
        <w:t> </w:t>
      </w:r>
      <w:r>
        <w:rPr>
          <w:color w:val="231F20"/>
          <w:sz w:val="18"/>
        </w:rPr>
        <w:t>two Vice-Chairmen. It shall appoint a Secretary and his substitutes, neither of whom need be members of the Board of</w:t>
      </w:r>
      <w:r>
        <w:rPr>
          <w:color w:val="231F20"/>
          <w:spacing w:val="-5"/>
          <w:sz w:val="18"/>
        </w:rPr>
        <w:t> </w:t>
      </w:r>
      <w:r>
        <w:rPr>
          <w:color w:val="231F20"/>
          <w:sz w:val="18"/>
        </w:rPr>
        <w:t>Directors.</w:t>
      </w:r>
    </w:p>
    <w:p>
      <w:pPr>
        <w:pStyle w:val="ListParagraph"/>
        <w:numPr>
          <w:ilvl w:val="0"/>
          <w:numId w:val="43"/>
        </w:numPr>
        <w:tabs>
          <w:tab w:pos="416" w:val="left" w:leader="none"/>
        </w:tabs>
        <w:spacing w:line="276" w:lineRule="auto" w:before="0" w:after="0"/>
        <w:ind w:left="415" w:right="198" w:hanging="227"/>
        <w:jc w:val="left"/>
        <w:rPr>
          <w:sz w:val="18"/>
        </w:rPr>
      </w:pPr>
      <w:r>
        <w:rPr>
          <w:color w:val="231F20"/>
          <w:sz w:val="18"/>
        </w:rPr>
        <w:t>The Board of Directors shall define in the Board regulations pursuant to art. </w:t>
      </w:r>
      <w:r>
        <w:rPr>
          <w:color w:val="231F20"/>
          <w:spacing w:val="-5"/>
          <w:sz w:val="18"/>
        </w:rPr>
        <w:t>19 </w:t>
      </w:r>
      <w:r>
        <w:rPr>
          <w:color w:val="231F20"/>
          <w:spacing w:val="-3"/>
          <w:sz w:val="18"/>
        </w:rPr>
        <w:t>par. </w:t>
      </w:r>
      <w:r>
        <w:rPr>
          <w:color w:val="231F20"/>
          <w:sz w:val="18"/>
        </w:rPr>
        <w:t>2 its organisation and the assignment of</w:t>
      </w:r>
      <w:r>
        <w:rPr>
          <w:color w:val="231F20"/>
          <w:spacing w:val="-4"/>
          <w:sz w:val="18"/>
        </w:rPr>
        <w:t> </w:t>
      </w:r>
      <w:r>
        <w:rPr>
          <w:color w:val="231F20"/>
          <w:sz w:val="18"/>
        </w:rPr>
        <w:t>responsibilities.</w:t>
      </w:r>
    </w:p>
    <w:p>
      <w:pPr>
        <w:pStyle w:val="ListParagraph"/>
        <w:numPr>
          <w:ilvl w:val="0"/>
          <w:numId w:val="43"/>
        </w:numPr>
        <w:tabs>
          <w:tab w:pos="416" w:val="left" w:leader="none"/>
        </w:tabs>
        <w:spacing w:line="276" w:lineRule="auto" w:before="0" w:after="0"/>
        <w:ind w:left="415" w:right="413" w:hanging="227"/>
        <w:jc w:val="both"/>
        <w:rPr>
          <w:sz w:val="18"/>
        </w:rPr>
      </w:pPr>
      <w:r>
        <w:rPr>
          <w:color w:val="231F20"/>
          <w:sz w:val="18"/>
        </w:rPr>
        <w:t>The members of the Board of Directors are entitled to a directors’ fee for their activities the amount of which is fixed by the Board of</w:t>
      </w:r>
      <w:r>
        <w:rPr>
          <w:color w:val="231F20"/>
          <w:spacing w:val="-9"/>
          <w:sz w:val="18"/>
        </w:rPr>
        <w:t> </w:t>
      </w:r>
      <w:r>
        <w:rPr>
          <w:color w:val="231F20"/>
          <w:sz w:val="18"/>
        </w:rPr>
        <w:t>Directors.</w:t>
      </w:r>
    </w:p>
    <w:p>
      <w:pPr>
        <w:pStyle w:val="BodyText"/>
        <w:spacing w:before="4"/>
        <w:rPr>
          <w:sz w:val="20"/>
        </w:rPr>
      </w:pPr>
    </w:p>
    <w:p>
      <w:pPr>
        <w:pStyle w:val="BodyText"/>
        <w:ind w:left="188"/>
      </w:pPr>
      <w:r>
        <w:rPr>
          <w:color w:val="231F20"/>
          <w:w w:val="105"/>
        </w:rPr>
        <w:t>Article 17</w:t>
      </w:r>
    </w:p>
    <w:p>
      <w:pPr>
        <w:pStyle w:val="Heading3"/>
        <w:spacing w:before="31"/>
        <w:ind w:left="188"/>
      </w:pPr>
      <w:r>
        <w:rPr>
          <w:color w:val="586670"/>
          <w:w w:val="110"/>
        </w:rPr>
        <w:t>Powers of the Board in general</w:t>
      </w:r>
    </w:p>
    <w:p>
      <w:pPr>
        <w:pStyle w:val="BodyText"/>
        <w:spacing w:line="276" w:lineRule="auto" w:before="31"/>
        <w:ind w:left="188" w:right="226"/>
      </w:pPr>
      <w:r>
        <w:rPr>
          <w:color w:val="231F20"/>
        </w:rPr>
        <w:t>The Board of Directors shall conduct all the business of Nestlé to the extent that it is not within the powers of the General Meeting or not delegated pursuant to the Board regulations as set forth in art. 19 par. 2.</w:t>
      </w:r>
    </w:p>
    <w:p>
      <w:pPr>
        <w:pStyle w:val="BodyText"/>
        <w:spacing w:before="6"/>
        <w:rPr>
          <w:sz w:val="20"/>
        </w:rPr>
      </w:pPr>
    </w:p>
    <w:p>
      <w:pPr>
        <w:pStyle w:val="BodyText"/>
        <w:ind w:left="188"/>
      </w:pPr>
      <w:r>
        <w:rPr>
          <w:color w:val="231F20"/>
          <w:w w:val="105"/>
        </w:rPr>
        <w:t>Article 18</w:t>
      </w:r>
    </w:p>
    <w:p>
      <w:pPr>
        <w:pStyle w:val="Heading3"/>
        <w:spacing w:before="31"/>
        <w:ind w:left="188"/>
      </w:pPr>
      <w:r>
        <w:rPr>
          <w:color w:val="586670"/>
          <w:w w:val="110"/>
        </w:rPr>
        <w:t>Specific powers of the Board</w:t>
      </w:r>
    </w:p>
    <w:p>
      <w:pPr>
        <w:pStyle w:val="BodyText"/>
        <w:spacing w:line="276" w:lineRule="auto" w:before="31"/>
        <w:ind w:left="188" w:right="226"/>
      </w:pPr>
      <w:r>
        <w:rPr>
          <w:color w:val="231F20"/>
        </w:rPr>
        <w:t>The Board of Directors has the following non-transferable and inalienable duties:</w:t>
      </w:r>
    </w:p>
    <w:p>
      <w:pPr>
        <w:pStyle w:val="ListParagraph"/>
        <w:numPr>
          <w:ilvl w:val="0"/>
          <w:numId w:val="44"/>
        </w:numPr>
        <w:tabs>
          <w:tab w:pos="416" w:val="left" w:leader="none"/>
        </w:tabs>
        <w:spacing w:line="276" w:lineRule="auto" w:before="0" w:after="0"/>
        <w:ind w:left="415" w:right="269" w:hanging="227"/>
        <w:jc w:val="left"/>
        <w:rPr>
          <w:sz w:val="18"/>
        </w:rPr>
      </w:pPr>
      <w:r>
        <w:rPr>
          <w:color w:val="231F20"/>
          <w:sz w:val="18"/>
        </w:rPr>
        <w:t>the ultimate direction of the business of Nestlé, in particular the conduct, management and supervision of the business of Nestlé, and the provision of necessary directions;</w:t>
      </w:r>
    </w:p>
    <w:p>
      <w:pPr>
        <w:pStyle w:val="ListParagraph"/>
        <w:numPr>
          <w:ilvl w:val="0"/>
          <w:numId w:val="44"/>
        </w:numPr>
        <w:tabs>
          <w:tab w:pos="416" w:val="left" w:leader="none"/>
        </w:tabs>
        <w:spacing w:line="276" w:lineRule="auto" w:before="0" w:after="0"/>
        <w:ind w:left="415" w:right="755" w:hanging="227"/>
        <w:jc w:val="left"/>
        <w:rPr>
          <w:sz w:val="18"/>
        </w:rPr>
      </w:pPr>
      <w:r>
        <w:rPr>
          <w:color w:val="231F20"/>
          <w:sz w:val="18"/>
        </w:rPr>
        <w:t>the determination of the organisation in the Board regulations pursuant to art. </w:t>
      </w:r>
      <w:r>
        <w:rPr>
          <w:color w:val="231F20"/>
          <w:spacing w:val="-5"/>
          <w:sz w:val="18"/>
        </w:rPr>
        <w:t>19 </w:t>
      </w:r>
      <w:r>
        <w:rPr>
          <w:color w:val="231F20"/>
          <w:spacing w:val="-3"/>
          <w:sz w:val="18"/>
        </w:rPr>
        <w:t>par.</w:t>
      </w:r>
      <w:r>
        <w:rPr>
          <w:color w:val="231F20"/>
          <w:spacing w:val="-6"/>
          <w:sz w:val="18"/>
        </w:rPr>
        <w:t> </w:t>
      </w:r>
      <w:r>
        <w:rPr>
          <w:color w:val="231F20"/>
          <w:sz w:val="18"/>
        </w:rPr>
        <w:t>2;</w:t>
      </w:r>
    </w:p>
    <w:p>
      <w:pPr>
        <w:pStyle w:val="ListParagraph"/>
        <w:numPr>
          <w:ilvl w:val="0"/>
          <w:numId w:val="44"/>
        </w:numPr>
        <w:tabs>
          <w:tab w:pos="416" w:val="left" w:leader="none"/>
        </w:tabs>
        <w:spacing w:line="276" w:lineRule="auto" w:before="0" w:after="0"/>
        <w:ind w:left="415" w:right="496" w:hanging="227"/>
        <w:jc w:val="left"/>
        <w:rPr>
          <w:sz w:val="18"/>
        </w:rPr>
      </w:pPr>
      <w:r>
        <w:rPr>
          <w:color w:val="231F20"/>
          <w:sz w:val="18"/>
        </w:rPr>
        <w:t>the determination of accounting and financial control principles;</w:t>
      </w:r>
    </w:p>
    <w:p>
      <w:pPr>
        <w:pStyle w:val="ListParagraph"/>
        <w:numPr>
          <w:ilvl w:val="0"/>
          <w:numId w:val="44"/>
        </w:numPr>
        <w:tabs>
          <w:tab w:pos="416" w:val="left" w:leader="none"/>
        </w:tabs>
        <w:spacing w:line="276" w:lineRule="auto" w:before="0" w:after="0"/>
        <w:ind w:left="415" w:right="359" w:hanging="227"/>
        <w:jc w:val="left"/>
        <w:rPr>
          <w:sz w:val="18"/>
        </w:rPr>
      </w:pPr>
      <w:r>
        <w:rPr>
          <w:color w:val="231F20"/>
          <w:sz w:val="18"/>
        </w:rPr>
        <w:t>the appointment and removal of the persons entrusted with the management and the granting of signatory powers to persons representing</w:t>
      </w:r>
      <w:r>
        <w:rPr>
          <w:color w:val="231F20"/>
          <w:spacing w:val="6"/>
          <w:sz w:val="18"/>
        </w:rPr>
        <w:t> </w:t>
      </w:r>
      <w:r>
        <w:rPr>
          <w:color w:val="231F20"/>
          <w:sz w:val="18"/>
        </w:rPr>
        <w:t>Nestlé;</w:t>
      </w:r>
    </w:p>
    <w:p>
      <w:pPr>
        <w:pStyle w:val="ListParagraph"/>
        <w:numPr>
          <w:ilvl w:val="0"/>
          <w:numId w:val="44"/>
        </w:numPr>
        <w:tabs>
          <w:tab w:pos="416" w:val="left" w:leader="none"/>
        </w:tabs>
        <w:spacing w:line="276" w:lineRule="auto" w:before="0" w:after="0"/>
        <w:ind w:left="415" w:right="396" w:hanging="227"/>
        <w:jc w:val="left"/>
        <w:rPr>
          <w:sz w:val="18"/>
        </w:rPr>
      </w:pPr>
      <w:r>
        <w:rPr>
          <w:color w:val="231F20"/>
          <w:sz w:val="18"/>
        </w:rPr>
        <w:t>the ultimate supervision of the persons entrusted with the management of Nestlé, ensuring in particular their compliance with the law, the Articles of Association, regulations and instructions</w:t>
      </w:r>
      <w:r>
        <w:rPr>
          <w:color w:val="231F20"/>
          <w:spacing w:val="-2"/>
          <w:sz w:val="18"/>
        </w:rPr>
        <w:t> </w:t>
      </w:r>
      <w:r>
        <w:rPr>
          <w:color w:val="231F20"/>
          <w:sz w:val="18"/>
        </w:rPr>
        <w:t>given;</w:t>
      </w:r>
    </w:p>
    <w:p>
      <w:pPr>
        <w:pStyle w:val="ListParagraph"/>
        <w:numPr>
          <w:ilvl w:val="0"/>
          <w:numId w:val="44"/>
        </w:numPr>
        <w:tabs>
          <w:tab w:pos="416" w:val="left" w:leader="none"/>
        </w:tabs>
        <w:spacing w:line="276" w:lineRule="auto" w:before="0" w:after="0"/>
        <w:ind w:left="415" w:right="535" w:hanging="227"/>
        <w:jc w:val="left"/>
        <w:rPr>
          <w:sz w:val="18"/>
        </w:rPr>
      </w:pPr>
      <w:r>
        <w:rPr>
          <w:color w:val="231F20"/>
          <w:sz w:val="18"/>
        </w:rPr>
        <w:t>the preparation of the business report in accordance with the provisions of the</w:t>
      </w:r>
      <w:r>
        <w:rPr>
          <w:color w:val="231F20"/>
          <w:spacing w:val="-10"/>
          <w:sz w:val="18"/>
        </w:rPr>
        <w:t> </w:t>
      </w:r>
      <w:r>
        <w:rPr>
          <w:color w:val="231F20"/>
          <w:sz w:val="18"/>
        </w:rPr>
        <w:t>law;</w:t>
      </w:r>
    </w:p>
    <w:p>
      <w:pPr>
        <w:pStyle w:val="ListParagraph"/>
        <w:numPr>
          <w:ilvl w:val="0"/>
          <w:numId w:val="44"/>
        </w:numPr>
        <w:tabs>
          <w:tab w:pos="416" w:val="left" w:leader="none"/>
        </w:tabs>
        <w:spacing w:line="276" w:lineRule="auto" w:before="0" w:after="0"/>
        <w:ind w:left="415" w:right="478" w:hanging="227"/>
        <w:jc w:val="left"/>
        <w:rPr>
          <w:sz w:val="18"/>
        </w:rPr>
      </w:pPr>
      <w:r>
        <w:rPr>
          <w:color w:val="231F20"/>
          <w:sz w:val="18"/>
        </w:rPr>
        <w:t>the preparation of General Meetings and the carrying out of its</w:t>
      </w:r>
      <w:r>
        <w:rPr>
          <w:color w:val="231F20"/>
          <w:spacing w:val="-8"/>
          <w:sz w:val="18"/>
        </w:rPr>
        <w:t> </w:t>
      </w:r>
      <w:r>
        <w:rPr>
          <w:color w:val="231F20"/>
          <w:sz w:val="18"/>
        </w:rPr>
        <w:t>resolutions;</w:t>
      </w:r>
    </w:p>
    <w:p>
      <w:pPr>
        <w:spacing w:after="0" w:line="276" w:lineRule="auto"/>
        <w:jc w:val="left"/>
        <w:rPr>
          <w:sz w:val="18"/>
        </w:rPr>
        <w:sectPr>
          <w:type w:val="continuous"/>
          <w:pgSz w:w="11910" w:h="14750"/>
          <w:pgMar w:top="540" w:bottom="280" w:left="460" w:right="460"/>
          <w:cols w:num="2" w:equalWidth="0">
            <w:col w:w="5605" w:space="40"/>
            <w:col w:w="5345"/>
          </w:cols>
        </w:sectPr>
      </w:pPr>
    </w:p>
    <w:p>
      <w:pPr>
        <w:pStyle w:val="BodyText"/>
        <w:rPr>
          <w:sz w:val="20"/>
        </w:rPr>
      </w:pPr>
    </w:p>
    <w:p>
      <w:pPr>
        <w:pStyle w:val="BodyText"/>
        <w:rPr>
          <w:sz w:val="20"/>
        </w:rPr>
      </w:pPr>
    </w:p>
    <w:p>
      <w:pPr>
        <w:pStyle w:val="BodyText"/>
        <w:spacing w:before="11"/>
        <w:rPr>
          <w:sz w:val="15"/>
        </w:rPr>
      </w:pPr>
    </w:p>
    <w:p>
      <w:pPr>
        <w:spacing w:after="0"/>
        <w:rPr>
          <w:sz w:val="15"/>
        </w:rPr>
        <w:sectPr>
          <w:pgSz w:w="11910" w:h="14750"/>
          <w:pgMar w:header="642" w:footer="509" w:top="840" w:bottom="700" w:left="460" w:right="460"/>
        </w:sectPr>
      </w:pPr>
    </w:p>
    <w:p>
      <w:pPr>
        <w:pStyle w:val="ListParagraph"/>
        <w:numPr>
          <w:ilvl w:val="0"/>
          <w:numId w:val="44"/>
        </w:numPr>
        <w:tabs>
          <w:tab w:pos="334" w:val="left" w:leader="none"/>
        </w:tabs>
        <w:spacing w:line="276" w:lineRule="auto" w:before="106" w:after="0"/>
        <w:ind w:left="333" w:right="267" w:hanging="227"/>
        <w:jc w:val="left"/>
        <w:rPr>
          <w:sz w:val="18"/>
        </w:rPr>
      </w:pPr>
      <w:bookmarkStart w:name="IV. Business report and appropriation of" w:id="39"/>
      <w:bookmarkEnd w:id="39"/>
      <w:r>
        <w:rPr/>
      </w:r>
      <w:bookmarkStart w:name="V. Announcements, Communications" w:id="40"/>
      <w:bookmarkEnd w:id="40"/>
      <w:r>
        <w:rPr/>
      </w:r>
      <w:bookmarkStart w:name="V. Announcements, Communications" w:id="41"/>
      <w:bookmarkEnd w:id="41"/>
      <w:r>
        <w:rPr>
          <w:color w:val="231F20"/>
          <w:sz w:val="18"/>
        </w:rPr>
        <w:t>t</w:t>
      </w:r>
      <w:r>
        <w:rPr>
          <w:color w:val="231F20"/>
          <w:sz w:val="18"/>
        </w:rPr>
        <w:t>he determination of the manner in which the dividend shall be</w:t>
      </w:r>
      <w:r>
        <w:rPr>
          <w:color w:val="231F20"/>
          <w:spacing w:val="-6"/>
          <w:sz w:val="18"/>
        </w:rPr>
        <w:t> </w:t>
      </w:r>
      <w:r>
        <w:rPr>
          <w:color w:val="231F20"/>
          <w:sz w:val="18"/>
        </w:rPr>
        <w:t>paid;</w:t>
      </w:r>
    </w:p>
    <w:p>
      <w:pPr>
        <w:pStyle w:val="ListParagraph"/>
        <w:numPr>
          <w:ilvl w:val="0"/>
          <w:numId w:val="44"/>
        </w:numPr>
        <w:tabs>
          <w:tab w:pos="334" w:val="left" w:leader="none"/>
        </w:tabs>
        <w:spacing w:line="208" w:lineRule="exact" w:before="0" w:after="0"/>
        <w:ind w:left="333" w:right="0" w:hanging="227"/>
        <w:jc w:val="left"/>
        <w:rPr>
          <w:sz w:val="18"/>
        </w:rPr>
      </w:pPr>
      <w:r>
        <w:rPr>
          <w:color w:val="231F20"/>
          <w:w w:val="105"/>
          <w:sz w:val="18"/>
        </w:rPr>
        <w:t>the</w:t>
      </w:r>
      <w:r>
        <w:rPr>
          <w:color w:val="231F20"/>
          <w:spacing w:val="-7"/>
          <w:w w:val="105"/>
          <w:sz w:val="18"/>
        </w:rPr>
        <w:t> </w:t>
      </w:r>
      <w:r>
        <w:rPr>
          <w:color w:val="231F20"/>
          <w:w w:val="105"/>
          <w:sz w:val="18"/>
        </w:rPr>
        <w:t>opening</w:t>
      </w:r>
      <w:r>
        <w:rPr>
          <w:color w:val="231F20"/>
          <w:spacing w:val="-6"/>
          <w:w w:val="105"/>
          <w:sz w:val="18"/>
        </w:rPr>
        <w:t> </w:t>
      </w:r>
      <w:r>
        <w:rPr>
          <w:color w:val="231F20"/>
          <w:w w:val="105"/>
          <w:sz w:val="18"/>
        </w:rPr>
        <w:t>and</w:t>
      </w:r>
      <w:r>
        <w:rPr>
          <w:color w:val="231F20"/>
          <w:spacing w:val="-7"/>
          <w:w w:val="105"/>
          <w:sz w:val="18"/>
        </w:rPr>
        <w:t> </w:t>
      </w:r>
      <w:r>
        <w:rPr>
          <w:color w:val="231F20"/>
          <w:w w:val="105"/>
          <w:sz w:val="18"/>
        </w:rPr>
        <w:t>closing</w:t>
      </w:r>
      <w:r>
        <w:rPr>
          <w:color w:val="231F20"/>
          <w:spacing w:val="-6"/>
          <w:w w:val="105"/>
          <w:sz w:val="18"/>
        </w:rPr>
        <w:t> </w:t>
      </w:r>
      <w:r>
        <w:rPr>
          <w:color w:val="231F20"/>
          <w:w w:val="105"/>
          <w:sz w:val="18"/>
        </w:rPr>
        <w:t>of</w:t>
      </w:r>
      <w:r>
        <w:rPr>
          <w:color w:val="231F20"/>
          <w:spacing w:val="-7"/>
          <w:w w:val="105"/>
          <w:sz w:val="18"/>
        </w:rPr>
        <w:t> </w:t>
      </w:r>
      <w:r>
        <w:rPr>
          <w:color w:val="231F20"/>
          <w:w w:val="105"/>
          <w:sz w:val="18"/>
        </w:rPr>
        <w:t>branch</w:t>
      </w:r>
      <w:r>
        <w:rPr>
          <w:color w:val="231F20"/>
          <w:spacing w:val="-6"/>
          <w:w w:val="105"/>
          <w:sz w:val="18"/>
        </w:rPr>
        <w:t> </w:t>
      </w:r>
      <w:r>
        <w:rPr>
          <w:color w:val="231F20"/>
          <w:w w:val="105"/>
          <w:sz w:val="18"/>
        </w:rPr>
        <w:t>offices;</w:t>
      </w:r>
      <w:r>
        <w:rPr>
          <w:color w:val="231F20"/>
          <w:spacing w:val="-7"/>
          <w:w w:val="105"/>
          <w:sz w:val="18"/>
        </w:rPr>
        <w:t> </w:t>
      </w:r>
      <w:r>
        <w:rPr>
          <w:color w:val="231F20"/>
          <w:w w:val="105"/>
          <w:sz w:val="18"/>
        </w:rPr>
        <w:t>and</w:t>
      </w:r>
    </w:p>
    <w:p>
      <w:pPr>
        <w:pStyle w:val="ListParagraph"/>
        <w:numPr>
          <w:ilvl w:val="0"/>
          <w:numId w:val="44"/>
        </w:numPr>
        <w:tabs>
          <w:tab w:pos="334" w:val="left" w:leader="none"/>
        </w:tabs>
        <w:spacing w:line="240" w:lineRule="auto" w:before="31" w:after="0"/>
        <w:ind w:left="333" w:right="0" w:hanging="227"/>
        <w:jc w:val="left"/>
        <w:rPr>
          <w:sz w:val="18"/>
        </w:rPr>
      </w:pPr>
      <w:r>
        <w:rPr>
          <w:color w:val="231F20"/>
          <w:sz w:val="18"/>
        </w:rPr>
        <w:t>the notification of the court in case of</w:t>
      </w:r>
      <w:r>
        <w:rPr>
          <w:color w:val="231F20"/>
          <w:spacing w:val="44"/>
          <w:sz w:val="18"/>
        </w:rPr>
        <w:t> </w:t>
      </w:r>
      <w:r>
        <w:rPr>
          <w:color w:val="231F20"/>
          <w:sz w:val="18"/>
        </w:rPr>
        <w:t>overindebtedness.</w:t>
      </w:r>
    </w:p>
    <w:p>
      <w:pPr>
        <w:pStyle w:val="BodyText"/>
        <w:spacing w:before="4"/>
        <w:rPr>
          <w:sz w:val="23"/>
        </w:rPr>
      </w:pPr>
    </w:p>
    <w:p>
      <w:pPr>
        <w:pStyle w:val="BodyText"/>
        <w:ind w:left="106"/>
      </w:pPr>
      <w:r>
        <w:rPr>
          <w:color w:val="231F20"/>
          <w:w w:val="105"/>
        </w:rPr>
        <w:t>Article 19</w:t>
      </w:r>
    </w:p>
    <w:p>
      <w:pPr>
        <w:pStyle w:val="Heading3"/>
        <w:spacing w:before="31"/>
        <w:ind w:left="106"/>
      </w:pPr>
      <w:r>
        <w:rPr>
          <w:color w:val="586670"/>
          <w:w w:val="110"/>
        </w:rPr>
        <w:t>Delegation of powers</w:t>
      </w:r>
    </w:p>
    <w:p>
      <w:pPr>
        <w:pStyle w:val="ListParagraph"/>
        <w:numPr>
          <w:ilvl w:val="0"/>
          <w:numId w:val="45"/>
        </w:numPr>
        <w:tabs>
          <w:tab w:pos="334" w:val="left" w:leader="none"/>
        </w:tabs>
        <w:spacing w:line="276" w:lineRule="auto" w:before="31" w:after="0"/>
        <w:ind w:left="333" w:right="65" w:hanging="227"/>
        <w:jc w:val="left"/>
        <w:rPr>
          <w:sz w:val="18"/>
        </w:rPr>
      </w:pPr>
      <w:r>
        <w:rPr>
          <w:color w:val="231F20"/>
          <w:sz w:val="18"/>
        </w:rPr>
        <w:t>The Board of Directors may appoint from amongst its members standing or ad hoc committees entrusted with the preparation and execution of its decisions or the supervision of specific </w:t>
      </w:r>
      <w:r>
        <w:rPr>
          <w:color w:val="231F20"/>
          <w:spacing w:val="2"/>
          <w:sz w:val="18"/>
        </w:rPr>
        <w:t>parts </w:t>
      </w:r>
      <w:r>
        <w:rPr>
          <w:color w:val="231F20"/>
          <w:sz w:val="18"/>
        </w:rPr>
        <w:t>of the business. The Board   of Directors shall ensure that it is kept properly</w:t>
      </w:r>
      <w:r>
        <w:rPr>
          <w:color w:val="231F20"/>
          <w:spacing w:val="23"/>
          <w:sz w:val="18"/>
        </w:rPr>
        <w:t> </w:t>
      </w:r>
      <w:r>
        <w:rPr>
          <w:color w:val="231F20"/>
          <w:sz w:val="18"/>
        </w:rPr>
        <w:t>informed.</w:t>
      </w:r>
    </w:p>
    <w:p>
      <w:pPr>
        <w:pStyle w:val="ListParagraph"/>
        <w:numPr>
          <w:ilvl w:val="0"/>
          <w:numId w:val="45"/>
        </w:numPr>
        <w:tabs>
          <w:tab w:pos="334" w:val="left" w:leader="none"/>
        </w:tabs>
        <w:spacing w:line="276" w:lineRule="auto" w:before="0" w:after="0"/>
        <w:ind w:left="333" w:right="44" w:hanging="227"/>
        <w:jc w:val="left"/>
        <w:rPr>
          <w:sz w:val="18"/>
        </w:rPr>
      </w:pPr>
      <w:r>
        <w:rPr>
          <w:color w:val="231F20"/>
          <w:sz w:val="18"/>
        </w:rPr>
        <w:t>Unless otherwise provided by law, the Board of Directors may in accordance with the Board regulations delegate   all or </w:t>
      </w:r>
      <w:r>
        <w:rPr>
          <w:color w:val="231F20"/>
          <w:spacing w:val="2"/>
          <w:sz w:val="18"/>
        </w:rPr>
        <w:t>part </w:t>
      </w:r>
      <w:r>
        <w:rPr>
          <w:color w:val="231F20"/>
          <w:sz w:val="18"/>
        </w:rPr>
        <w:t>of the management to one or more of its members, to one or more board committees, or to third parties.</w:t>
      </w:r>
    </w:p>
    <w:p>
      <w:pPr>
        <w:pStyle w:val="BodyText"/>
        <w:spacing w:before="4"/>
        <w:rPr>
          <w:sz w:val="20"/>
        </w:rPr>
      </w:pPr>
    </w:p>
    <w:p>
      <w:pPr>
        <w:pStyle w:val="ListParagraph"/>
        <w:numPr>
          <w:ilvl w:val="0"/>
          <w:numId w:val="32"/>
        </w:numPr>
        <w:tabs>
          <w:tab w:pos="328" w:val="left" w:leader="none"/>
        </w:tabs>
        <w:spacing w:line="276" w:lineRule="auto" w:before="0" w:after="0"/>
        <w:ind w:left="106" w:right="4118" w:firstLine="0"/>
        <w:jc w:val="left"/>
        <w:rPr>
          <w:sz w:val="18"/>
        </w:rPr>
      </w:pPr>
      <w:r>
        <w:rPr>
          <w:color w:val="586670"/>
          <w:w w:val="105"/>
          <w:sz w:val="18"/>
        </w:rPr>
        <w:t>Auditors</w:t>
      </w:r>
      <w:r>
        <w:rPr>
          <w:color w:val="231F20"/>
          <w:w w:val="105"/>
          <w:sz w:val="18"/>
        </w:rPr>
        <w:t> Article</w:t>
      </w:r>
      <w:r>
        <w:rPr>
          <w:color w:val="231F20"/>
          <w:spacing w:val="-10"/>
          <w:w w:val="105"/>
          <w:sz w:val="18"/>
        </w:rPr>
        <w:t> </w:t>
      </w:r>
      <w:r>
        <w:rPr>
          <w:color w:val="231F20"/>
          <w:w w:val="105"/>
          <w:sz w:val="18"/>
        </w:rPr>
        <w:t>20</w:t>
      </w:r>
    </w:p>
    <w:p>
      <w:pPr>
        <w:pStyle w:val="Heading3"/>
        <w:spacing w:line="208" w:lineRule="exact"/>
        <w:ind w:left="106"/>
      </w:pPr>
      <w:r>
        <w:rPr>
          <w:color w:val="586670"/>
          <w:w w:val="110"/>
        </w:rPr>
        <w:t>Number of Auditors; Term of office</w:t>
      </w:r>
    </w:p>
    <w:p>
      <w:pPr>
        <w:pStyle w:val="BodyText"/>
        <w:spacing w:line="276" w:lineRule="auto" w:before="31"/>
        <w:ind w:left="106" w:right="276"/>
      </w:pPr>
      <w:r>
        <w:rPr>
          <w:color w:val="231F20"/>
        </w:rPr>
        <w:t>The General Meeting shall appoint, for a term of one year, one or more Auditors of the annual financial statements   of Nestlé and the consolidated financial statements of the Group, which shall be independent from Nestlé and meet the special professional standards required by </w:t>
      </w:r>
      <w:r>
        <w:rPr>
          <w:color w:val="231F20"/>
          <w:spacing w:val="-3"/>
        </w:rPr>
        <w:t>law. </w:t>
      </w:r>
      <w:r>
        <w:rPr>
          <w:color w:val="231F20"/>
        </w:rPr>
        <w:t>The Auditors of Nestlé may be</w:t>
      </w:r>
      <w:r>
        <w:rPr>
          <w:color w:val="231F20"/>
          <w:spacing w:val="-5"/>
        </w:rPr>
        <w:t> </w:t>
      </w:r>
      <w:r>
        <w:rPr>
          <w:color w:val="231F20"/>
        </w:rPr>
        <w:t>re-elected.</w:t>
      </w:r>
    </w:p>
    <w:p>
      <w:pPr>
        <w:pStyle w:val="BodyText"/>
        <w:spacing w:before="6"/>
        <w:rPr>
          <w:sz w:val="20"/>
        </w:rPr>
      </w:pPr>
    </w:p>
    <w:p>
      <w:pPr>
        <w:pStyle w:val="BodyText"/>
        <w:ind w:left="106"/>
      </w:pPr>
      <w:r>
        <w:rPr>
          <w:color w:val="231F20"/>
          <w:w w:val="105"/>
        </w:rPr>
        <w:t>Article 21</w:t>
      </w:r>
    </w:p>
    <w:p>
      <w:pPr>
        <w:pStyle w:val="Heading3"/>
        <w:spacing w:before="31"/>
        <w:ind w:left="106"/>
      </w:pPr>
      <w:r>
        <w:rPr>
          <w:color w:val="586670"/>
          <w:w w:val="110"/>
        </w:rPr>
        <w:t>Rights and duties of Auditors</w:t>
      </w:r>
    </w:p>
    <w:p>
      <w:pPr>
        <w:pStyle w:val="BodyText"/>
        <w:spacing w:line="276" w:lineRule="auto" w:before="31"/>
        <w:ind w:left="106" w:right="294"/>
      </w:pPr>
      <w:r>
        <w:rPr>
          <w:color w:val="231F20"/>
        </w:rPr>
        <w:t>The Auditors shall verify the annual financial statements  of Nestlé and the consolidated financial statements of the Group. The Auditors shall submit their reports to</w:t>
      </w:r>
      <w:r>
        <w:rPr>
          <w:color w:val="231F20"/>
          <w:spacing w:val="16"/>
        </w:rPr>
        <w:t> </w:t>
      </w:r>
      <w:r>
        <w:rPr>
          <w:color w:val="231F20"/>
        </w:rPr>
        <w:t>the</w:t>
      </w:r>
    </w:p>
    <w:p>
      <w:pPr>
        <w:pStyle w:val="BodyText"/>
        <w:spacing w:line="276" w:lineRule="auto"/>
        <w:ind w:left="106" w:right="133"/>
      </w:pPr>
      <w:r>
        <w:rPr>
          <w:color w:val="231F20"/>
        </w:rPr>
        <w:t>General Meeting. Their rights and duties shall be as set out in the Swiss Code of Obligations.</w:t>
      </w:r>
    </w:p>
    <w:p>
      <w:pPr>
        <w:pStyle w:val="BodyText"/>
        <w:spacing w:before="6"/>
        <w:rPr>
          <w:sz w:val="20"/>
        </w:rPr>
      </w:pPr>
    </w:p>
    <w:p>
      <w:pPr>
        <w:pStyle w:val="Heading3"/>
        <w:numPr>
          <w:ilvl w:val="0"/>
          <w:numId w:val="25"/>
        </w:numPr>
        <w:tabs>
          <w:tab w:pos="399" w:val="left" w:leader="none"/>
        </w:tabs>
        <w:spacing w:line="276" w:lineRule="auto" w:before="0" w:after="0"/>
        <w:ind w:left="106" w:right="38" w:firstLine="0"/>
        <w:jc w:val="left"/>
      </w:pPr>
      <w:r>
        <w:rPr>
          <w:color w:val="231F20"/>
          <w:w w:val="105"/>
        </w:rPr>
        <w:t>Business report and appropriation of profit resulting from the balance</w:t>
      </w:r>
      <w:r>
        <w:rPr>
          <w:color w:val="231F20"/>
          <w:spacing w:val="-11"/>
          <w:w w:val="105"/>
        </w:rPr>
        <w:t> </w:t>
      </w:r>
      <w:r>
        <w:rPr>
          <w:color w:val="231F20"/>
          <w:w w:val="105"/>
        </w:rPr>
        <w:t>sheet</w:t>
      </w:r>
    </w:p>
    <w:p>
      <w:pPr>
        <w:pStyle w:val="BodyText"/>
        <w:spacing w:line="208" w:lineRule="exact"/>
        <w:ind w:left="106"/>
      </w:pPr>
      <w:r>
        <w:rPr>
          <w:color w:val="231F20"/>
          <w:w w:val="105"/>
        </w:rPr>
        <w:t>Article 22</w:t>
      </w:r>
    </w:p>
    <w:p>
      <w:pPr>
        <w:pStyle w:val="Heading3"/>
        <w:spacing w:before="31"/>
        <w:ind w:left="106"/>
      </w:pPr>
      <w:r>
        <w:rPr>
          <w:color w:val="586670"/>
          <w:w w:val="105"/>
        </w:rPr>
        <w:t>Financial year</w:t>
      </w:r>
    </w:p>
    <w:p>
      <w:pPr>
        <w:pStyle w:val="BodyText"/>
        <w:spacing w:line="276" w:lineRule="auto" w:before="31"/>
        <w:ind w:left="106" w:right="133"/>
      </w:pPr>
      <w:r>
        <w:rPr>
          <w:color w:val="231F20"/>
          <w:w w:val="105"/>
        </w:rPr>
        <w:t>The financial year shall commence on 1 January and shall end on 31 December.</w:t>
      </w:r>
    </w:p>
    <w:p>
      <w:pPr>
        <w:pStyle w:val="BodyText"/>
        <w:spacing w:before="7"/>
        <w:rPr>
          <w:sz w:val="20"/>
        </w:rPr>
      </w:pPr>
    </w:p>
    <w:p>
      <w:pPr>
        <w:pStyle w:val="BodyText"/>
        <w:ind w:left="106"/>
      </w:pPr>
      <w:r>
        <w:rPr>
          <w:color w:val="231F20"/>
          <w:w w:val="105"/>
        </w:rPr>
        <w:t>Article 23</w:t>
      </w:r>
    </w:p>
    <w:p>
      <w:pPr>
        <w:pStyle w:val="Heading3"/>
        <w:spacing w:before="31"/>
        <w:ind w:left="106"/>
      </w:pPr>
      <w:r>
        <w:rPr>
          <w:color w:val="586670"/>
          <w:w w:val="110"/>
        </w:rPr>
        <w:t>Business report</w:t>
      </w:r>
    </w:p>
    <w:p>
      <w:pPr>
        <w:pStyle w:val="BodyText"/>
        <w:spacing w:line="276" w:lineRule="auto" w:before="31"/>
        <w:ind w:left="106" w:right="133"/>
      </w:pPr>
      <w:r>
        <w:rPr>
          <w:color w:val="231F20"/>
        </w:rPr>
        <w:t>For every financial year the Board of Directors shall prepare a business report consisting of the annual financial statements of Nestlé, of the annual report and the consolidated financial</w:t>
      </w:r>
      <w:r>
        <w:rPr>
          <w:color w:val="231F20"/>
          <w:spacing w:val="-4"/>
        </w:rPr>
        <w:t> </w:t>
      </w:r>
      <w:r>
        <w:rPr>
          <w:color w:val="231F20"/>
        </w:rPr>
        <w:t>statements.</w:t>
      </w:r>
    </w:p>
    <w:p>
      <w:pPr>
        <w:pStyle w:val="BodyText"/>
        <w:spacing w:before="106"/>
        <w:ind w:left="106"/>
      </w:pPr>
      <w:r>
        <w:rPr/>
        <w:br w:type="column"/>
      </w:r>
      <w:r>
        <w:rPr>
          <w:color w:val="231F20"/>
          <w:w w:val="105"/>
        </w:rPr>
        <w:t>Article 24</w:t>
      </w:r>
    </w:p>
    <w:p>
      <w:pPr>
        <w:spacing w:line="276" w:lineRule="auto" w:before="31"/>
        <w:ind w:left="106" w:right="459" w:firstLine="0"/>
        <w:jc w:val="left"/>
        <w:rPr>
          <w:sz w:val="18"/>
        </w:rPr>
      </w:pPr>
      <w:r>
        <w:rPr>
          <w:b/>
          <w:color w:val="586670"/>
          <w:w w:val="105"/>
          <w:sz w:val="18"/>
        </w:rPr>
        <w:t>Appropriation of profit resulting from the balance sheet </w:t>
      </w:r>
      <w:r>
        <w:rPr>
          <w:color w:val="231F20"/>
          <w:w w:val="105"/>
          <w:sz w:val="18"/>
        </w:rPr>
        <w:t>The profit shall be allocated by the General Meeting within the limits set by applicable </w:t>
      </w:r>
      <w:r>
        <w:rPr>
          <w:color w:val="231F20"/>
          <w:spacing w:val="-3"/>
          <w:w w:val="105"/>
          <w:sz w:val="18"/>
        </w:rPr>
        <w:t>law. </w:t>
      </w:r>
      <w:r>
        <w:rPr>
          <w:color w:val="231F20"/>
          <w:w w:val="105"/>
          <w:sz w:val="18"/>
        </w:rPr>
        <w:t>The Board of Directors shall submit its proposals to the General Meeting.</w:t>
      </w:r>
    </w:p>
    <w:p>
      <w:pPr>
        <w:pStyle w:val="BodyText"/>
        <w:spacing w:before="6"/>
        <w:rPr>
          <w:sz w:val="20"/>
        </w:rPr>
      </w:pPr>
    </w:p>
    <w:p>
      <w:pPr>
        <w:pStyle w:val="Heading3"/>
        <w:numPr>
          <w:ilvl w:val="0"/>
          <w:numId w:val="25"/>
        </w:numPr>
        <w:tabs>
          <w:tab w:pos="336" w:val="left" w:leader="none"/>
        </w:tabs>
        <w:spacing w:line="240" w:lineRule="auto" w:before="1" w:after="0"/>
        <w:ind w:left="335" w:right="0" w:hanging="229"/>
        <w:jc w:val="left"/>
      </w:pPr>
      <w:r>
        <w:rPr>
          <w:color w:val="231F20"/>
          <w:w w:val="110"/>
        </w:rPr>
        <w:t>Announcements,</w:t>
      </w:r>
      <w:r>
        <w:rPr>
          <w:color w:val="231F20"/>
          <w:spacing w:val="-7"/>
          <w:w w:val="110"/>
        </w:rPr>
        <w:t> </w:t>
      </w:r>
      <w:r>
        <w:rPr>
          <w:color w:val="231F20"/>
          <w:w w:val="110"/>
        </w:rPr>
        <w:t>Communications</w:t>
      </w:r>
    </w:p>
    <w:p>
      <w:pPr>
        <w:pStyle w:val="BodyText"/>
        <w:spacing w:before="31"/>
        <w:ind w:left="106"/>
      </w:pPr>
      <w:r>
        <w:rPr>
          <w:color w:val="231F20"/>
          <w:w w:val="105"/>
        </w:rPr>
        <w:t>Article 25</w:t>
      </w:r>
    </w:p>
    <w:p>
      <w:pPr>
        <w:pStyle w:val="Heading3"/>
        <w:spacing w:before="31"/>
        <w:ind w:left="106"/>
      </w:pPr>
      <w:r>
        <w:rPr>
          <w:color w:val="586670"/>
          <w:w w:val="110"/>
        </w:rPr>
        <w:t>Notices</w:t>
      </w:r>
    </w:p>
    <w:p>
      <w:pPr>
        <w:pStyle w:val="BodyText"/>
        <w:spacing w:line="276" w:lineRule="auto" w:before="31"/>
        <w:ind w:left="106" w:right="654"/>
        <w:jc w:val="both"/>
      </w:pPr>
      <w:r>
        <w:rPr>
          <w:color w:val="231F20"/>
          <w:w w:val="105"/>
        </w:rPr>
        <w:t>All</w:t>
      </w:r>
      <w:r>
        <w:rPr>
          <w:color w:val="231F20"/>
          <w:spacing w:val="-8"/>
          <w:w w:val="105"/>
        </w:rPr>
        <w:t> </w:t>
      </w:r>
      <w:r>
        <w:rPr>
          <w:color w:val="231F20"/>
          <w:w w:val="105"/>
        </w:rPr>
        <w:t>notices</w:t>
      </w:r>
      <w:r>
        <w:rPr>
          <w:color w:val="231F20"/>
          <w:spacing w:val="-8"/>
          <w:w w:val="105"/>
        </w:rPr>
        <w:t> </w:t>
      </w:r>
      <w:r>
        <w:rPr>
          <w:color w:val="231F20"/>
          <w:w w:val="105"/>
        </w:rPr>
        <w:t>and</w:t>
      </w:r>
      <w:r>
        <w:rPr>
          <w:color w:val="231F20"/>
          <w:spacing w:val="-8"/>
          <w:w w:val="105"/>
        </w:rPr>
        <w:t> </w:t>
      </w:r>
      <w:r>
        <w:rPr>
          <w:color w:val="231F20"/>
          <w:w w:val="105"/>
        </w:rPr>
        <w:t>communications</w:t>
      </w:r>
      <w:r>
        <w:rPr>
          <w:color w:val="231F20"/>
          <w:spacing w:val="-8"/>
          <w:w w:val="105"/>
        </w:rPr>
        <w:t> </w:t>
      </w:r>
      <w:r>
        <w:rPr>
          <w:color w:val="231F20"/>
          <w:w w:val="105"/>
        </w:rPr>
        <w:t>to</w:t>
      </w:r>
      <w:r>
        <w:rPr>
          <w:color w:val="231F20"/>
          <w:spacing w:val="-7"/>
          <w:w w:val="105"/>
        </w:rPr>
        <w:t> </w:t>
      </w:r>
      <w:r>
        <w:rPr>
          <w:color w:val="231F20"/>
          <w:w w:val="105"/>
        </w:rPr>
        <w:t>be</w:t>
      </w:r>
      <w:r>
        <w:rPr>
          <w:color w:val="231F20"/>
          <w:spacing w:val="-8"/>
          <w:w w:val="105"/>
        </w:rPr>
        <w:t> </w:t>
      </w:r>
      <w:r>
        <w:rPr>
          <w:color w:val="231F20"/>
          <w:w w:val="105"/>
        </w:rPr>
        <w:t>made</w:t>
      </w:r>
      <w:r>
        <w:rPr>
          <w:color w:val="231F20"/>
          <w:spacing w:val="-8"/>
          <w:w w:val="105"/>
        </w:rPr>
        <w:t> </w:t>
      </w:r>
      <w:r>
        <w:rPr>
          <w:color w:val="231F20"/>
          <w:w w:val="105"/>
        </w:rPr>
        <w:t>by</w:t>
      </w:r>
      <w:r>
        <w:rPr>
          <w:color w:val="231F20"/>
          <w:spacing w:val="-8"/>
          <w:w w:val="105"/>
        </w:rPr>
        <w:t> </w:t>
      </w:r>
      <w:r>
        <w:rPr>
          <w:color w:val="231F20"/>
          <w:w w:val="105"/>
        </w:rPr>
        <w:t>Nestlé</w:t>
      </w:r>
      <w:r>
        <w:rPr>
          <w:color w:val="231F20"/>
          <w:spacing w:val="-7"/>
          <w:w w:val="105"/>
        </w:rPr>
        <w:t> </w:t>
      </w:r>
      <w:r>
        <w:rPr>
          <w:color w:val="231F20"/>
          <w:w w:val="105"/>
        </w:rPr>
        <w:t>shall be</w:t>
      </w:r>
      <w:r>
        <w:rPr>
          <w:color w:val="231F20"/>
          <w:spacing w:val="-10"/>
          <w:w w:val="105"/>
        </w:rPr>
        <w:t> </w:t>
      </w:r>
      <w:r>
        <w:rPr>
          <w:color w:val="231F20"/>
          <w:w w:val="105"/>
        </w:rPr>
        <w:t>considered</w:t>
      </w:r>
      <w:r>
        <w:rPr>
          <w:color w:val="231F20"/>
          <w:spacing w:val="-10"/>
          <w:w w:val="105"/>
        </w:rPr>
        <w:t> </w:t>
      </w:r>
      <w:r>
        <w:rPr>
          <w:color w:val="231F20"/>
          <w:w w:val="105"/>
        </w:rPr>
        <w:t>duly</w:t>
      </w:r>
      <w:r>
        <w:rPr>
          <w:color w:val="231F20"/>
          <w:spacing w:val="-9"/>
          <w:w w:val="105"/>
        </w:rPr>
        <w:t> </w:t>
      </w:r>
      <w:r>
        <w:rPr>
          <w:color w:val="231F20"/>
          <w:w w:val="105"/>
        </w:rPr>
        <w:t>made</w:t>
      </w:r>
      <w:r>
        <w:rPr>
          <w:color w:val="231F20"/>
          <w:spacing w:val="-10"/>
          <w:w w:val="105"/>
        </w:rPr>
        <w:t> </w:t>
      </w:r>
      <w:r>
        <w:rPr>
          <w:color w:val="231F20"/>
          <w:w w:val="105"/>
        </w:rPr>
        <w:t>if</w:t>
      </w:r>
      <w:r>
        <w:rPr>
          <w:color w:val="231F20"/>
          <w:spacing w:val="-10"/>
          <w:w w:val="105"/>
        </w:rPr>
        <w:t> </w:t>
      </w:r>
      <w:r>
        <w:rPr>
          <w:color w:val="231F20"/>
          <w:w w:val="105"/>
        </w:rPr>
        <w:t>published</w:t>
      </w:r>
      <w:r>
        <w:rPr>
          <w:color w:val="231F20"/>
          <w:spacing w:val="-9"/>
          <w:w w:val="105"/>
        </w:rPr>
        <w:t> </w:t>
      </w:r>
      <w:r>
        <w:rPr>
          <w:color w:val="231F20"/>
          <w:w w:val="105"/>
        </w:rPr>
        <w:t>in</w:t>
      </w:r>
      <w:r>
        <w:rPr>
          <w:color w:val="231F20"/>
          <w:spacing w:val="-10"/>
          <w:w w:val="105"/>
        </w:rPr>
        <w:t> </w:t>
      </w:r>
      <w:r>
        <w:rPr>
          <w:color w:val="231F20"/>
          <w:w w:val="105"/>
        </w:rPr>
        <w:t>the</w:t>
      </w:r>
      <w:r>
        <w:rPr>
          <w:color w:val="231F20"/>
          <w:spacing w:val="-9"/>
          <w:w w:val="105"/>
        </w:rPr>
        <w:t> </w:t>
      </w:r>
      <w:r>
        <w:rPr>
          <w:color w:val="231F20"/>
          <w:w w:val="105"/>
        </w:rPr>
        <w:t>“Swiss</w:t>
      </w:r>
      <w:r>
        <w:rPr>
          <w:color w:val="231F20"/>
          <w:spacing w:val="-10"/>
          <w:w w:val="105"/>
        </w:rPr>
        <w:t> </w:t>
      </w:r>
      <w:r>
        <w:rPr>
          <w:color w:val="231F20"/>
          <w:w w:val="105"/>
        </w:rPr>
        <w:t>Official Gazette</w:t>
      </w:r>
      <w:r>
        <w:rPr>
          <w:color w:val="231F20"/>
          <w:spacing w:val="-18"/>
          <w:w w:val="105"/>
        </w:rPr>
        <w:t> </w:t>
      </w:r>
      <w:r>
        <w:rPr>
          <w:color w:val="231F20"/>
          <w:w w:val="105"/>
        </w:rPr>
        <w:t>of</w:t>
      </w:r>
      <w:r>
        <w:rPr>
          <w:color w:val="231F20"/>
          <w:spacing w:val="-18"/>
          <w:w w:val="105"/>
        </w:rPr>
        <w:t> </w:t>
      </w:r>
      <w:r>
        <w:rPr>
          <w:color w:val="231F20"/>
          <w:w w:val="105"/>
        </w:rPr>
        <w:t>Commerce”,</w:t>
      </w:r>
      <w:r>
        <w:rPr>
          <w:color w:val="231F20"/>
          <w:spacing w:val="-18"/>
          <w:w w:val="105"/>
        </w:rPr>
        <w:t> </w:t>
      </w:r>
      <w:r>
        <w:rPr>
          <w:color w:val="231F20"/>
          <w:w w:val="105"/>
        </w:rPr>
        <w:t>unless</w:t>
      </w:r>
      <w:r>
        <w:rPr>
          <w:color w:val="231F20"/>
          <w:spacing w:val="-18"/>
          <w:w w:val="105"/>
        </w:rPr>
        <w:t> </w:t>
      </w:r>
      <w:r>
        <w:rPr>
          <w:color w:val="231F20"/>
          <w:w w:val="105"/>
        </w:rPr>
        <w:t>the</w:t>
      </w:r>
      <w:r>
        <w:rPr>
          <w:color w:val="231F20"/>
          <w:spacing w:val="-18"/>
          <w:w w:val="105"/>
        </w:rPr>
        <w:t> </w:t>
      </w:r>
      <w:r>
        <w:rPr>
          <w:color w:val="231F20"/>
          <w:w w:val="105"/>
        </w:rPr>
        <w:t>law</w:t>
      </w:r>
      <w:r>
        <w:rPr>
          <w:color w:val="231F20"/>
          <w:spacing w:val="-18"/>
          <w:w w:val="105"/>
        </w:rPr>
        <w:t> </w:t>
      </w:r>
      <w:r>
        <w:rPr>
          <w:color w:val="231F20"/>
          <w:w w:val="105"/>
        </w:rPr>
        <w:t>provides</w:t>
      </w:r>
      <w:r>
        <w:rPr>
          <w:color w:val="231F20"/>
          <w:spacing w:val="-17"/>
          <w:w w:val="105"/>
        </w:rPr>
        <w:t> </w:t>
      </w:r>
      <w:r>
        <w:rPr>
          <w:color w:val="231F20"/>
          <w:w w:val="105"/>
        </w:rPr>
        <w:t>otherwise.</w:t>
      </w:r>
    </w:p>
    <w:p>
      <w:pPr>
        <w:pStyle w:val="BodyText"/>
        <w:rPr>
          <w:sz w:val="22"/>
        </w:rPr>
      </w:pPr>
    </w:p>
    <w:p>
      <w:pPr>
        <w:pStyle w:val="BodyText"/>
        <w:rPr>
          <w:sz w:val="22"/>
        </w:rPr>
      </w:pPr>
    </w:p>
    <w:p>
      <w:pPr>
        <w:pStyle w:val="BodyText"/>
        <w:rPr>
          <w:sz w:val="22"/>
        </w:rPr>
      </w:pPr>
    </w:p>
    <w:p>
      <w:pPr>
        <w:spacing w:line="278" w:lineRule="auto" w:before="192"/>
        <w:ind w:left="106" w:right="590" w:firstLine="0"/>
        <w:jc w:val="left"/>
        <w:rPr>
          <w:rFonts w:ascii="Arial"/>
          <w:i/>
          <w:sz w:val="18"/>
        </w:rPr>
      </w:pPr>
      <w:r>
        <w:rPr>
          <w:rFonts w:ascii="Arial"/>
          <w:i/>
          <w:color w:val="231F20"/>
          <w:sz w:val="18"/>
        </w:rPr>
        <w:t>Articles of Association amended by the Annual General </w:t>
      </w:r>
      <w:r>
        <w:rPr>
          <w:rFonts w:ascii="Arial"/>
          <w:i/>
          <w:color w:val="231F20"/>
          <w:sz w:val="18"/>
        </w:rPr>
        <w:t>Meeting of 19 April 2012</w:t>
      </w:r>
    </w:p>
    <w:sectPr>
      <w:type w:val="continuous"/>
      <w:pgSz w:w="11910" w:h="14750"/>
      <w:pgMar w:top="540" w:bottom="280" w:left="460" w:right="460"/>
      <w:cols w:num="2" w:equalWidth="0">
        <w:col w:w="5156" w:space="116"/>
        <w:col w:w="5718"/>
      </w:cols>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Trebuchet MS">
    <w:altName w:val="Trebuchet MS"/>
    <w:charset w:val="0"/>
    <w:family w:val="swiss"/>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4.05pt;height:10.95pt;mso-position-horizontal-relative:page;mso-position-vertical-relative:page;z-index:-117352"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44</w:t>
                </w:r>
                <w:r>
                  <w:rPr/>
                  <w:fldChar w:fldCharType="end"/>
                </w:r>
              </w:p>
            </w:txbxContent>
          </v:textbox>
          <w10:wrap type="none"/>
        </v:shape>
      </w:pict>
    </w:r>
    <w:r>
      <w:rPr/>
      <w:pict>
        <v:shape style="position:absolute;margin-left:339.26001pt;margin-top:700.762207pt;width:206pt;height:10.75pt;mso-position-horizontal-relative:page;mso-position-vertical-relative:page;z-index:-117328"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700.762207pt;width:206pt;height:10.75pt;mso-position-horizontal-relative:page;mso-position-vertical-relative:page;z-index:-117304"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r>
      <w:rPr/>
      <w:pict>
        <v:shape style="position:absolute;margin-left:555.760986pt;margin-top:700.559814pt;width:13.2pt;height:10.95pt;mso-position-horizontal-relative:page;mso-position-vertical-relative:page;z-index:-117280"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19</w:t>
                </w:r>
                <w:r>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2.75pt;height:10.95pt;mso-position-horizontal-relative:page;mso-position-vertical-relative:page;z-index:-117256"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14</w:t>
                </w:r>
                <w:r>
                  <w:rPr/>
                  <w:fldChar w:fldCharType="end"/>
                </w:r>
              </w:p>
            </w:txbxContent>
          </v:textbox>
          <w10:wrap type="none"/>
        </v:shape>
      </w:pict>
    </w:r>
    <w:r>
      <w:rPr/>
      <w:pict>
        <v:shape style="position:absolute;margin-left:339.26001pt;margin-top:700.762207pt;width:206pt;height:10.75pt;mso-position-horizontal-relative:page;mso-position-vertical-relative:page;z-index:-117232"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700.762207pt;width:206pt;height:10.75pt;mso-position-horizontal-relative:page;mso-position-vertical-relative:page;z-index:-117208"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r>
      <w:rPr/>
      <w:pict>
        <v:shape style="position:absolute;margin-left:555.796021pt;margin-top:700.559814pt;width:12.85pt;height:10.95pt;mso-position-horizontal-relative:page;mso-position-vertical-relative:page;z-index:-117184"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15</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700.762207pt;width:206pt;height:10.75pt;mso-position-horizontal-relative:page;mso-position-vertical-relative:page;z-index:-117088"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r>
      <w:rPr/>
      <w:pict>
        <v:shape style="position:absolute;margin-left:555.916992pt;margin-top:700.559814pt;width:12.65pt;height:10.95pt;mso-position-horizontal-relative:page;mso-position-vertical-relative:page;z-index:-117064"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17</w:t>
                </w:r>
                <w:r>
                  <w:rPr/>
                  <w:fldChar w:fldCharType="end"/>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2.9pt;height:10.95pt;mso-position-horizontal-relative:page;mso-position-vertical-relative:page;z-index:-117040"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18</w:t>
                </w:r>
                <w:r>
                  <w:rPr/>
                  <w:fldChar w:fldCharType="end"/>
                </w:r>
              </w:p>
            </w:txbxContent>
          </v:textbox>
          <w10:wrap type="none"/>
        </v:shape>
      </w:pict>
    </w:r>
    <w:r>
      <w:rPr/>
      <w:pict>
        <v:shape style="position:absolute;margin-left:339.26001pt;margin-top:700.762207pt;width:206pt;height:10.75pt;mso-position-horizontal-relative:page;mso-position-vertical-relative:page;z-index:-117016"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681.197571pt;width:472.95pt;height:9.6pt;mso-position-horizontal-relative:page;mso-position-vertical-relative:page;z-index:-116992" type="#_x0000_t202" filled="false" stroked="false">
          <v:textbox inset="0,0,0,0">
            <w:txbxContent>
              <w:p>
                <w:pPr>
                  <w:spacing w:before="21"/>
                  <w:ind w:left="20" w:right="0" w:firstLine="0"/>
                  <w:jc w:val="left"/>
                  <w:rPr>
                    <w:sz w:val="13"/>
                  </w:rPr>
                </w:pPr>
                <w:r>
                  <w:rPr>
                    <w:color w:val="586670"/>
                    <w:spacing w:val="-3"/>
                    <w:w w:val="79"/>
                    <w:sz w:val="13"/>
                  </w:rPr>
                  <w:t>(</w:t>
                </w:r>
                <w:r>
                  <w:rPr>
                    <w:color w:val="586670"/>
                    <w:spacing w:val="-7"/>
                    <w:w w:val="106"/>
                    <w:sz w:val="13"/>
                  </w:rPr>
                  <w:t>1</w:t>
                </w:r>
                <w:r>
                  <w:rPr>
                    <w:color w:val="586670"/>
                    <w:w w:val="79"/>
                    <w:sz w:val="13"/>
                  </w:rPr>
                  <w:t>)</w:t>
                </w:r>
                <w:r>
                  <w:rPr>
                    <w:color w:val="586670"/>
                    <w:sz w:val="13"/>
                  </w:rPr>
                  <w:t> </w:t>
                </w:r>
                <w:r>
                  <w:rPr>
                    <w:color w:val="586670"/>
                    <w:spacing w:val="8"/>
                    <w:sz w:val="13"/>
                  </w:rPr>
                  <w:t> </w:t>
                </w:r>
                <w:r>
                  <w:rPr>
                    <w:color w:val="586670"/>
                    <w:spacing w:val="2"/>
                    <w:w w:val="105"/>
                    <w:sz w:val="13"/>
                  </w:rPr>
                  <w:t>F</w:t>
                </w:r>
                <w:r>
                  <w:rPr>
                    <w:color w:val="586670"/>
                    <w:spacing w:val="2"/>
                    <w:w w:val="106"/>
                    <w:sz w:val="13"/>
                  </w:rPr>
                  <w:t>o</w:t>
                </w:r>
                <w:r>
                  <w:rPr>
                    <w:color w:val="586670"/>
                    <w:w w:val="88"/>
                    <w:sz w:val="13"/>
                  </w:rPr>
                  <w:t>r</w:t>
                </w:r>
                <w:r>
                  <w:rPr>
                    <w:color w:val="586670"/>
                    <w:spacing w:val="-7"/>
                    <w:sz w:val="13"/>
                  </w:rPr>
                  <w:t> </w:t>
                </w:r>
                <w:r>
                  <w:rPr>
                    <w:color w:val="586670"/>
                    <w:spacing w:val="3"/>
                    <w:w w:val="105"/>
                    <w:sz w:val="13"/>
                  </w:rPr>
                  <w:t>c</w:t>
                </w:r>
                <w:r>
                  <w:rPr>
                    <w:color w:val="586670"/>
                    <w:spacing w:val="2"/>
                    <w:w w:val="106"/>
                    <w:sz w:val="13"/>
                  </w:rPr>
                  <w:t>o</w:t>
                </w:r>
                <w:r>
                  <w:rPr>
                    <w:color w:val="586670"/>
                    <w:spacing w:val="1"/>
                    <w:w w:val="107"/>
                    <w:sz w:val="13"/>
                  </w:rPr>
                  <w:t>m</w:t>
                </w:r>
                <w:r>
                  <w:rPr>
                    <w:color w:val="586670"/>
                    <w:spacing w:val="2"/>
                    <w:w w:val="104"/>
                    <w:sz w:val="13"/>
                  </w:rPr>
                  <w:t>p</w:t>
                </w:r>
                <w:r>
                  <w:rPr>
                    <w:color w:val="586670"/>
                    <w:spacing w:val="2"/>
                    <w:w w:val="79"/>
                    <w:sz w:val="13"/>
                  </w:rPr>
                  <w:t>l</w:t>
                </w:r>
                <w:r>
                  <w:rPr>
                    <w:color w:val="586670"/>
                    <w:spacing w:val="1"/>
                    <w:w w:val="97"/>
                    <w:sz w:val="13"/>
                  </w:rPr>
                  <w:t>e</w:t>
                </w:r>
                <w:r>
                  <w:rPr>
                    <w:color w:val="586670"/>
                    <w:spacing w:val="1"/>
                    <w:w w:val="81"/>
                    <w:sz w:val="13"/>
                  </w:rPr>
                  <w:t>t</w:t>
                </w:r>
                <w:r>
                  <w:rPr>
                    <w:color w:val="586670"/>
                    <w:w w:val="97"/>
                    <w:sz w:val="13"/>
                  </w:rPr>
                  <w:t>e</w:t>
                </w:r>
                <w:r>
                  <w:rPr>
                    <w:color w:val="586670"/>
                    <w:spacing w:val="-7"/>
                    <w:sz w:val="13"/>
                  </w:rPr>
                  <w:t> </w:t>
                </w:r>
                <w:r>
                  <w:rPr>
                    <w:color w:val="586670"/>
                    <w:spacing w:val="1"/>
                    <w:w w:val="81"/>
                    <w:sz w:val="13"/>
                  </w:rPr>
                  <w:t>i</w:t>
                </w:r>
                <w:r>
                  <w:rPr>
                    <w:color w:val="586670"/>
                    <w:spacing w:val="1"/>
                    <w:w w:val="105"/>
                    <w:sz w:val="13"/>
                  </w:rPr>
                  <w:t>n</w:t>
                </w:r>
                <w:r>
                  <w:rPr>
                    <w:color w:val="586670"/>
                    <w:w w:val="86"/>
                    <w:sz w:val="13"/>
                  </w:rPr>
                  <w:t>f</w:t>
                </w:r>
                <w:r>
                  <w:rPr>
                    <w:color w:val="586670"/>
                    <w:spacing w:val="2"/>
                    <w:w w:val="106"/>
                    <w:sz w:val="13"/>
                  </w:rPr>
                  <w:t>o</w:t>
                </w:r>
                <w:r>
                  <w:rPr>
                    <w:color w:val="586670"/>
                    <w:spacing w:val="3"/>
                    <w:w w:val="88"/>
                    <w:sz w:val="13"/>
                  </w:rPr>
                  <w:t>r</w:t>
                </w:r>
                <w:r>
                  <w:rPr>
                    <w:color w:val="586670"/>
                    <w:spacing w:val="3"/>
                    <w:w w:val="107"/>
                    <w:sz w:val="13"/>
                  </w:rPr>
                  <w:t>m</w:t>
                </w:r>
                <w:r>
                  <w:rPr>
                    <w:color w:val="586670"/>
                    <w:spacing w:val="1"/>
                    <w:w w:val="98"/>
                    <w:sz w:val="13"/>
                  </w:rPr>
                  <w:t>a</w:t>
                </w:r>
                <w:r>
                  <w:rPr>
                    <w:color w:val="586670"/>
                    <w:spacing w:val="2"/>
                    <w:w w:val="81"/>
                    <w:sz w:val="13"/>
                  </w:rPr>
                  <w:t>ti</w:t>
                </w:r>
                <w:r>
                  <w:rPr>
                    <w:color w:val="586670"/>
                    <w:spacing w:val="2"/>
                    <w:w w:val="106"/>
                    <w:sz w:val="13"/>
                  </w:rPr>
                  <w:t>o</w:t>
                </w:r>
                <w:r>
                  <w:rPr>
                    <w:color w:val="586670"/>
                    <w:w w:val="105"/>
                    <w:sz w:val="13"/>
                  </w:rPr>
                  <w:t>n</w:t>
                </w:r>
                <w:r>
                  <w:rPr>
                    <w:color w:val="586670"/>
                    <w:spacing w:val="-7"/>
                    <w:sz w:val="13"/>
                  </w:rPr>
                  <w:t> </w:t>
                </w:r>
                <w:r>
                  <w:rPr>
                    <w:color w:val="586670"/>
                    <w:spacing w:val="2"/>
                    <w:w w:val="104"/>
                    <w:sz w:val="13"/>
                  </w:rPr>
                  <w:t>p</w:t>
                </w:r>
                <w:r>
                  <w:rPr>
                    <w:color w:val="586670"/>
                    <w:spacing w:val="2"/>
                    <w:w w:val="79"/>
                    <w:sz w:val="13"/>
                  </w:rPr>
                  <w:t>l</w:t>
                </w:r>
                <w:r>
                  <w:rPr>
                    <w:color w:val="586670"/>
                    <w:spacing w:val="4"/>
                    <w:w w:val="97"/>
                    <w:sz w:val="13"/>
                  </w:rPr>
                  <w:t>e</w:t>
                </w:r>
                <w:r>
                  <w:rPr>
                    <w:color w:val="586670"/>
                    <w:spacing w:val="1"/>
                    <w:w w:val="98"/>
                    <w:sz w:val="13"/>
                  </w:rPr>
                  <w:t>a</w:t>
                </w:r>
                <w:r>
                  <w:rPr>
                    <w:color w:val="586670"/>
                    <w:spacing w:val="2"/>
                    <w:w w:val="118"/>
                    <w:sz w:val="13"/>
                  </w:rPr>
                  <w:t>s</w:t>
                </w:r>
                <w:r>
                  <w:rPr>
                    <w:color w:val="586670"/>
                    <w:w w:val="97"/>
                    <w:sz w:val="13"/>
                  </w:rPr>
                  <w:t>e</w:t>
                </w:r>
                <w:r>
                  <w:rPr>
                    <w:color w:val="586670"/>
                    <w:spacing w:val="-7"/>
                    <w:sz w:val="13"/>
                  </w:rPr>
                  <w:t> </w:t>
                </w:r>
                <w:r>
                  <w:rPr>
                    <w:color w:val="586670"/>
                    <w:spacing w:val="2"/>
                    <w:w w:val="88"/>
                    <w:sz w:val="13"/>
                  </w:rPr>
                  <w:t>r</w:t>
                </w:r>
                <w:r>
                  <w:rPr>
                    <w:color w:val="586670"/>
                    <w:spacing w:val="1"/>
                    <w:w w:val="97"/>
                    <w:sz w:val="13"/>
                  </w:rPr>
                  <w:t>e</w:t>
                </w:r>
                <w:r>
                  <w:rPr>
                    <w:color w:val="586670"/>
                    <w:w w:val="86"/>
                    <w:sz w:val="13"/>
                  </w:rPr>
                  <w:t>f</w:t>
                </w:r>
                <w:r>
                  <w:rPr>
                    <w:color w:val="586670"/>
                    <w:spacing w:val="2"/>
                    <w:w w:val="97"/>
                    <w:sz w:val="13"/>
                  </w:rPr>
                  <w:t>e</w:t>
                </w:r>
                <w:r>
                  <w:rPr>
                    <w:color w:val="586670"/>
                    <w:w w:val="88"/>
                    <w:sz w:val="13"/>
                  </w:rPr>
                  <w:t>r</w:t>
                </w:r>
                <w:r>
                  <w:rPr>
                    <w:color w:val="586670"/>
                    <w:spacing w:val="-7"/>
                    <w:sz w:val="13"/>
                  </w:rPr>
                  <w:t> </w:t>
                </w:r>
                <w:r>
                  <w:rPr>
                    <w:color w:val="586670"/>
                    <w:spacing w:val="1"/>
                    <w:w w:val="81"/>
                    <w:sz w:val="13"/>
                  </w:rPr>
                  <w:t>t</w:t>
                </w:r>
                <w:r>
                  <w:rPr>
                    <w:color w:val="586670"/>
                    <w:w w:val="106"/>
                    <w:sz w:val="13"/>
                  </w:rPr>
                  <w:t>o</w:t>
                </w:r>
                <w:r>
                  <w:rPr>
                    <w:color w:val="586670"/>
                    <w:spacing w:val="-7"/>
                    <w:sz w:val="13"/>
                  </w:rPr>
                  <w:t> </w:t>
                </w:r>
                <w:r>
                  <w:rPr>
                    <w:color w:val="586670"/>
                    <w:spacing w:val="2"/>
                    <w:w w:val="81"/>
                    <w:sz w:val="13"/>
                  </w:rPr>
                  <w:t>t</w:t>
                </w:r>
                <w:r>
                  <w:rPr>
                    <w:color w:val="586670"/>
                    <w:spacing w:val="2"/>
                    <w:w w:val="105"/>
                    <w:sz w:val="13"/>
                  </w:rPr>
                  <w:t>h</w:t>
                </w:r>
                <w:r>
                  <w:rPr>
                    <w:color w:val="586670"/>
                    <w:w w:val="97"/>
                    <w:sz w:val="13"/>
                  </w:rPr>
                  <w:t>e</w:t>
                </w:r>
                <w:r>
                  <w:rPr>
                    <w:color w:val="586670"/>
                    <w:spacing w:val="-7"/>
                    <w:sz w:val="13"/>
                  </w:rPr>
                  <w:t> </w:t>
                </w:r>
                <w:r>
                  <w:rPr>
                    <w:color w:val="586670"/>
                    <w:spacing w:val="2"/>
                    <w:w w:val="115"/>
                    <w:sz w:val="13"/>
                  </w:rPr>
                  <w:t>B</w:t>
                </w:r>
                <w:r>
                  <w:rPr>
                    <w:color w:val="586670"/>
                    <w:spacing w:val="3"/>
                    <w:w w:val="106"/>
                    <w:sz w:val="13"/>
                  </w:rPr>
                  <w:t>o</w:t>
                </w:r>
                <w:r>
                  <w:rPr>
                    <w:color w:val="586670"/>
                    <w:spacing w:val="1"/>
                    <w:w w:val="98"/>
                    <w:sz w:val="13"/>
                  </w:rPr>
                  <w:t>a</w:t>
                </w:r>
                <w:r>
                  <w:rPr>
                    <w:color w:val="586670"/>
                    <w:spacing w:val="2"/>
                    <w:w w:val="88"/>
                    <w:sz w:val="13"/>
                  </w:rPr>
                  <w:t>r</w:t>
                </w:r>
                <w:r>
                  <w:rPr>
                    <w:color w:val="586670"/>
                    <w:w w:val="104"/>
                    <w:sz w:val="13"/>
                  </w:rPr>
                  <w:t>d</w:t>
                </w:r>
                <w:r>
                  <w:rPr>
                    <w:color w:val="586670"/>
                    <w:spacing w:val="-7"/>
                    <w:sz w:val="13"/>
                  </w:rPr>
                  <w:t> </w:t>
                </w:r>
                <w:r>
                  <w:rPr>
                    <w:color w:val="586670"/>
                    <w:spacing w:val="1"/>
                    <w:w w:val="106"/>
                    <w:sz w:val="13"/>
                  </w:rPr>
                  <w:t>o</w:t>
                </w:r>
                <w:r>
                  <w:rPr>
                    <w:color w:val="586670"/>
                    <w:w w:val="86"/>
                    <w:sz w:val="13"/>
                  </w:rPr>
                  <w:t>f</w:t>
                </w:r>
                <w:r>
                  <w:rPr>
                    <w:color w:val="586670"/>
                    <w:spacing w:val="-7"/>
                    <w:sz w:val="13"/>
                  </w:rPr>
                  <w:t> </w:t>
                </w:r>
                <w:r>
                  <w:rPr>
                    <w:color w:val="586670"/>
                    <w:spacing w:val="2"/>
                    <w:w w:val="118"/>
                    <w:sz w:val="13"/>
                  </w:rPr>
                  <w:t>D</w:t>
                </w:r>
                <w:r>
                  <w:rPr>
                    <w:color w:val="586670"/>
                    <w:spacing w:val="1"/>
                    <w:w w:val="81"/>
                    <w:sz w:val="13"/>
                  </w:rPr>
                  <w:t>i</w:t>
                </w:r>
                <w:r>
                  <w:rPr>
                    <w:color w:val="586670"/>
                    <w:spacing w:val="2"/>
                    <w:w w:val="88"/>
                    <w:sz w:val="13"/>
                  </w:rPr>
                  <w:t>r</w:t>
                </w:r>
                <w:r>
                  <w:rPr>
                    <w:color w:val="586670"/>
                    <w:spacing w:val="3"/>
                    <w:w w:val="97"/>
                    <w:sz w:val="13"/>
                  </w:rPr>
                  <w:t>e</w:t>
                </w:r>
                <w:r>
                  <w:rPr>
                    <w:color w:val="586670"/>
                    <w:spacing w:val="3"/>
                    <w:w w:val="105"/>
                    <w:sz w:val="13"/>
                  </w:rPr>
                  <w:t>c</w:t>
                </w:r>
                <w:r>
                  <w:rPr>
                    <w:color w:val="586670"/>
                    <w:spacing w:val="1"/>
                    <w:w w:val="81"/>
                    <w:sz w:val="13"/>
                  </w:rPr>
                  <w:t>t</w:t>
                </w:r>
                <w:r>
                  <w:rPr>
                    <w:color w:val="586670"/>
                    <w:spacing w:val="2"/>
                    <w:w w:val="106"/>
                    <w:sz w:val="13"/>
                  </w:rPr>
                  <w:t>o</w:t>
                </w:r>
                <w:r>
                  <w:rPr>
                    <w:color w:val="586670"/>
                    <w:spacing w:val="3"/>
                    <w:w w:val="88"/>
                    <w:sz w:val="13"/>
                  </w:rPr>
                  <w:t>r</w:t>
                </w:r>
                <w:r>
                  <w:rPr>
                    <w:color w:val="586670"/>
                    <w:w w:val="118"/>
                    <w:sz w:val="13"/>
                  </w:rPr>
                  <w:t>s</w:t>
                </w:r>
                <w:r>
                  <w:rPr>
                    <w:color w:val="586670"/>
                    <w:spacing w:val="-7"/>
                    <w:sz w:val="13"/>
                  </w:rPr>
                  <w:t> </w:t>
                </w:r>
                <w:r>
                  <w:rPr>
                    <w:color w:val="586670"/>
                    <w:spacing w:val="1"/>
                    <w:w w:val="113"/>
                    <w:sz w:val="13"/>
                  </w:rPr>
                  <w:t>R</w:t>
                </w:r>
                <w:r>
                  <w:rPr>
                    <w:color w:val="586670"/>
                    <w:spacing w:val="3"/>
                    <w:w w:val="97"/>
                    <w:sz w:val="13"/>
                  </w:rPr>
                  <w:t>e</w:t>
                </w:r>
                <w:r>
                  <w:rPr>
                    <w:color w:val="586670"/>
                    <w:spacing w:val="1"/>
                    <w:w w:val="117"/>
                    <w:sz w:val="13"/>
                  </w:rPr>
                  <w:t>g</w:t>
                </w:r>
                <w:r>
                  <w:rPr>
                    <w:color w:val="586670"/>
                    <w:spacing w:val="1"/>
                    <w:w w:val="105"/>
                    <w:sz w:val="13"/>
                  </w:rPr>
                  <w:t>u</w:t>
                </w:r>
                <w:r>
                  <w:rPr>
                    <w:color w:val="586670"/>
                    <w:spacing w:val="3"/>
                    <w:w w:val="79"/>
                    <w:sz w:val="13"/>
                  </w:rPr>
                  <w:t>l</w:t>
                </w:r>
                <w:r>
                  <w:rPr>
                    <w:color w:val="586670"/>
                    <w:spacing w:val="1"/>
                    <w:w w:val="98"/>
                    <w:sz w:val="13"/>
                  </w:rPr>
                  <w:t>a</w:t>
                </w:r>
                <w:r>
                  <w:rPr>
                    <w:color w:val="586670"/>
                    <w:spacing w:val="2"/>
                    <w:w w:val="81"/>
                    <w:sz w:val="13"/>
                  </w:rPr>
                  <w:t>ti</w:t>
                </w:r>
                <w:r>
                  <w:rPr>
                    <w:color w:val="586670"/>
                    <w:spacing w:val="2"/>
                    <w:w w:val="106"/>
                    <w:sz w:val="13"/>
                  </w:rPr>
                  <w:t>o</w:t>
                </w:r>
                <w:r>
                  <w:rPr>
                    <w:color w:val="586670"/>
                    <w:spacing w:val="1"/>
                    <w:w w:val="105"/>
                    <w:sz w:val="13"/>
                  </w:rPr>
                  <w:t>n</w:t>
                </w:r>
                <w:r>
                  <w:rPr>
                    <w:color w:val="586670"/>
                    <w:w w:val="118"/>
                    <w:sz w:val="13"/>
                  </w:rPr>
                  <w:t>s</w:t>
                </w:r>
                <w:r>
                  <w:rPr>
                    <w:color w:val="586670"/>
                    <w:spacing w:val="-7"/>
                    <w:sz w:val="13"/>
                  </w:rPr>
                  <w:t> </w:t>
                </w:r>
                <w:r>
                  <w:rPr>
                    <w:color w:val="586670"/>
                    <w:spacing w:val="1"/>
                    <w:w w:val="98"/>
                    <w:sz w:val="13"/>
                  </w:rPr>
                  <w:t>a</w:t>
                </w:r>
                <w:r>
                  <w:rPr>
                    <w:color w:val="586670"/>
                    <w:spacing w:val="2"/>
                    <w:w w:val="105"/>
                    <w:sz w:val="13"/>
                  </w:rPr>
                  <w:t>n</w:t>
                </w:r>
                <w:r>
                  <w:rPr>
                    <w:color w:val="586670"/>
                    <w:w w:val="104"/>
                    <w:sz w:val="13"/>
                  </w:rPr>
                  <w:t>d</w:t>
                </w:r>
                <w:r>
                  <w:rPr>
                    <w:color w:val="586670"/>
                    <w:spacing w:val="-7"/>
                    <w:sz w:val="13"/>
                  </w:rPr>
                  <w:t> </w:t>
                </w:r>
                <w:r>
                  <w:rPr>
                    <w:color w:val="586670"/>
                    <w:spacing w:val="2"/>
                    <w:w w:val="111"/>
                    <w:sz w:val="13"/>
                  </w:rPr>
                  <w:t>C</w:t>
                </w:r>
                <w:r>
                  <w:rPr>
                    <w:color w:val="586670"/>
                    <w:spacing w:val="2"/>
                    <w:w w:val="106"/>
                    <w:sz w:val="13"/>
                  </w:rPr>
                  <w:t>o</w:t>
                </w:r>
                <w:r>
                  <w:rPr>
                    <w:color w:val="586670"/>
                    <w:spacing w:val="1"/>
                    <w:w w:val="107"/>
                    <w:sz w:val="13"/>
                  </w:rPr>
                  <w:t>mm</w:t>
                </w:r>
                <w:r>
                  <w:rPr>
                    <w:color w:val="586670"/>
                    <w:spacing w:val="2"/>
                    <w:w w:val="81"/>
                    <w:sz w:val="13"/>
                  </w:rPr>
                  <w:t>i</w:t>
                </w:r>
                <w:r>
                  <w:rPr>
                    <w:color w:val="586670"/>
                    <w:spacing w:val="6"/>
                    <w:w w:val="81"/>
                    <w:sz w:val="13"/>
                  </w:rPr>
                  <w:t>t</w:t>
                </w:r>
                <w:r>
                  <w:rPr>
                    <w:color w:val="586670"/>
                    <w:spacing w:val="1"/>
                    <w:w w:val="81"/>
                    <w:sz w:val="13"/>
                  </w:rPr>
                  <w:t>t</w:t>
                </w:r>
                <w:r>
                  <w:rPr>
                    <w:color w:val="586670"/>
                    <w:spacing w:val="3"/>
                    <w:w w:val="97"/>
                    <w:sz w:val="13"/>
                  </w:rPr>
                  <w:t>e</w:t>
                </w:r>
                <w:r>
                  <w:rPr>
                    <w:color w:val="586670"/>
                    <w:w w:val="97"/>
                    <w:sz w:val="13"/>
                  </w:rPr>
                  <w:t>e</w:t>
                </w:r>
                <w:r>
                  <w:rPr>
                    <w:color w:val="586670"/>
                    <w:spacing w:val="-7"/>
                    <w:sz w:val="13"/>
                  </w:rPr>
                  <w:t> </w:t>
                </w:r>
                <w:r>
                  <w:rPr>
                    <w:color w:val="586670"/>
                    <w:spacing w:val="1"/>
                    <w:w w:val="111"/>
                    <w:sz w:val="13"/>
                  </w:rPr>
                  <w:t>C</w:t>
                </w:r>
                <w:r>
                  <w:rPr>
                    <w:color w:val="586670"/>
                    <w:spacing w:val="2"/>
                    <w:w w:val="105"/>
                    <w:sz w:val="13"/>
                  </w:rPr>
                  <w:t>h</w:t>
                </w:r>
                <w:r>
                  <w:rPr>
                    <w:color w:val="586670"/>
                    <w:spacing w:val="1"/>
                    <w:w w:val="98"/>
                    <w:sz w:val="13"/>
                  </w:rPr>
                  <w:t>a</w:t>
                </w:r>
                <w:r>
                  <w:rPr>
                    <w:color w:val="586670"/>
                    <w:spacing w:val="7"/>
                    <w:w w:val="88"/>
                    <w:sz w:val="13"/>
                  </w:rPr>
                  <w:t>r</w:t>
                </w:r>
                <w:r>
                  <w:rPr>
                    <w:color w:val="586670"/>
                    <w:spacing w:val="1"/>
                    <w:w w:val="81"/>
                    <w:sz w:val="13"/>
                  </w:rPr>
                  <w:t>t</w:t>
                </w:r>
                <w:r>
                  <w:rPr>
                    <w:color w:val="586670"/>
                    <w:spacing w:val="2"/>
                    <w:w w:val="97"/>
                    <w:sz w:val="13"/>
                  </w:rPr>
                  <w:t>e</w:t>
                </w:r>
                <w:r>
                  <w:rPr>
                    <w:color w:val="586670"/>
                    <w:spacing w:val="3"/>
                    <w:w w:val="88"/>
                    <w:sz w:val="13"/>
                  </w:rPr>
                  <w:t>r</w:t>
                </w:r>
                <w:r>
                  <w:rPr>
                    <w:color w:val="586670"/>
                    <w:w w:val="118"/>
                    <w:sz w:val="13"/>
                  </w:rPr>
                  <w:t>s</w:t>
                </w:r>
                <w:r>
                  <w:rPr>
                    <w:color w:val="586670"/>
                    <w:spacing w:val="-7"/>
                    <w:sz w:val="13"/>
                  </w:rPr>
                  <w:t> </w:t>
                </w:r>
                <w:r>
                  <w:rPr>
                    <w:color w:val="586670"/>
                    <w:spacing w:val="2"/>
                    <w:w w:val="106"/>
                    <w:sz w:val="13"/>
                  </w:rPr>
                  <w:t>o</w:t>
                </w:r>
                <w:r>
                  <w:rPr>
                    <w:color w:val="586670"/>
                    <w:w w:val="105"/>
                    <w:sz w:val="13"/>
                  </w:rPr>
                  <w:t>n</w:t>
                </w:r>
                <w:r>
                  <w:rPr>
                    <w:color w:val="586670"/>
                    <w:spacing w:val="-7"/>
                    <w:sz w:val="13"/>
                  </w:rPr>
                  <w:t> </w:t>
                </w:r>
                <w:hyperlink r:id="rId1">
                  <w:r>
                    <w:rPr>
                      <w:color w:val="586670"/>
                      <w:spacing w:val="6"/>
                      <w:w w:val="110"/>
                      <w:sz w:val="13"/>
                    </w:rPr>
                    <w:t>ww</w:t>
                  </w:r>
                  <w:r>
                    <w:rPr>
                      <w:color w:val="586670"/>
                      <w:spacing w:val="-4"/>
                      <w:w w:val="98"/>
                      <w:sz w:val="13"/>
                    </w:rPr>
                    <w:t>w</w:t>
                  </w:r>
                  <w:r>
                    <w:rPr>
                      <w:color w:val="586670"/>
                      <w:spacing w:val="1"/>
                      <w:w w:val="98"/>
                      <w:sz w:val="13"/>
                    </w:rPr>
                    <w:t>.</w:t>
                  </w:r>
                  <w:r>
                    <w:rPr>
                      <w:color w:val="586670"/>
                      <w:spacing w:val="2"/>
                      <w:w w:val="105"/>
                      <w:sz w:val="13"/>
                    </w:rPr>
                    <w:t>n</w:t>
                  </w:r>
                  <w:r>
                    <w:rPr>
                      <w:color w:val="586670"/>
                      <w:spacing w:val="2"/>
                      <w:w w:val="97"/>
                      <w:sz w:val="13"/>
                    </w:rPr>
                    <w:t>e</w:t>
                  </w:r>
                  <w:r>
                    <w:rPr>
                      <w:color w:val="586670"/>
                      <w:spacing w:val="3"/>
                      <w:w w:val="118"/>
                      <w:sz w:val="13"/>
                    </w:rPr>
                    <w:t>s</w:t>
                  </w:r>
                  <w:r>
                    <w:rPr>
                      <w:color w:val="586670"/>
                      <w:spacing w:val="2"/>
                      <w:w w:val="81"/>
                      <w:sz w:val="13"/>
                    </w:rPr>
                    <w:t>t</w:t>
                  </w:r>
                  <w:r>
                    <w:rPr>
                      <w:color w:val="586670"/>
                      <w:spacing w:val="2"/>
                      <w:w w:val="79"/>
                      <w:sz w:val="13"/>
                    </w:rPr>
                    <w:t>l</w:t>
                  </w:r>
                  <w:r>
                    <w:rPr>
                      <w:color w:val="586670"/>
                      <w:spacing w:val="1"/>
                      <w:w w:val="97"/>
                      <w:sz w:val="13"/>
                    </w:rPr>
                    <w:t>e</w:t>
                  </w:r>
                  <w:r>
                    <w:rPr>
                      <w:color w:val="586670"/>
                      <w:w w:val="76"/>
                      <w:sz w:val="13"/>
                    </w:rPr>
                    <w:t>.</w:t>
                  </w:r>
                  <w:r>
                    <w:rPr>
                      <w:color w:val="586670"/>
                      <w:spacing w:val="3"/>
                      <w:w w:val="105"/>
                      <w:sz w:val="13"/>
                    </w:rPr>
                    <w:t>c</w:t>
                  </w:r>
                  <w:r>
                    <w:rPr>
                      <w:color w:val="586670"/>
                      <w:spacing w:val="2"/>
                      <w:w w:val="106"/>
                      <w:sz w:val="13"/>
                    </w:rPr>
                    <w:t>o</w:t>
                  </w:r>
                  <w:r>
                    <w:rPr>
                      <w:color w:val="586670"/>
                      <w:spacing w:val="4"/>
                      <w:w w:val="107"/>
                      <w:sz w:val="13"/>
                    </w:rPr>
                    <w:t>m</w:t>
                  </w:r>
                  <w:r>
                    <w:rPr>
                      <w:color w:val="586670"/>
                      <w:spacing w:val="4"/>
                      <w:w w:val="55"/>
                      <w:sz w:val="13"/>
                    </w:rPr>
                    <w:t>/</w:t>
                  </w:r>
                  <w:r>
                    <w:rPr>
                      <w:color w:val="586670"/>
                      <w:spacing w:val="1"/>
                      <w:w w:val="81"/>
                      <w:sz w:val="13"/>
                    </w:rPr>
                    <w:t>i</w:t>
                  </w:r>
                  <w:r>
                    <w:rPr>
                      <w:color w:val="586670"/>
                      <w:w w:val="105"/>
                      <w:sz w:val="13"/>
                    </w:rPr>
                    <w:t>n</w:t>
                  </w:r>
                  <w:r>
                    <w:rPr>
                      <w:color w:val="586670"/>
                      <w:spacing w:val="1"/>
                      <w:w w:val="104"/>
                      <w:sz w:val="13"/>
                    </w:rPr>
                    <w:t>v</w:t>
                  </w:r>
                  <w:r>
                    <w:rPr>
                      <w:color w:val="586670"/>
                      <w:spacing w:val="2"/>
                      <w:w w:val="97"/>
                      <w:sz w:val="13"/>
                    </w:rPr>
                    <w:t>e</w:t>
                  </w:r>
                  <w:r>
                    <w:rPr>
                      <w:color w:val="586670"/>
                      <w:spacing w:val="3"/>
                      <w:w w:val="118"/>
                      <w:sz w:val="13"/>
                    </w:rPr>
                    <w:t>s</w:t>
                  </w:r>
                  <w:r>
                    <w:rPr>
                      <w:color w:val="586670"/>
                      <w:spacing w:val="1"/>
                      <w:w w:val="81"/>
                      <w:sz w:val="13"/>
                    </w:rPr>
                    <w:t>t</w:t>
                  </w:r>
                  <w:r>
                    <w:rPr>
                      <w:color w:val="586670"/>
                      <w:spacing w:val="2"/>
                      <w:w w:val="106"/>
                      <w:sz w:val="13"/>
                    </w:rPr>
                    <w:t>o</w:t>
                  </w:r>
                  <w:r>
                    <w:rPr>
                      <w:color w:val="586670"/>
                      <w:spacing w:val="3"/>
                      <w:w w:val="88"/>
                      <w:sz w:val="13"/>
                    </w:rPr>
                    <w:t>r</w:t>
                  </w:r>
                  <w:r>
                    <w:rPr>
                      <w:color w:val="586670"/>
                      <w:spacing w:val="4"/>
                      <w:w w:val="118"/>
                      <w:sz w:val="13"/>
                    </w:rPr>
                    <w:t>s</w:t>
                  </w:r>
                  <w:r>
                    <w:rPr>
                      <w:color w:val="586670"/>
                      <w:spacing w:val="-1"/>
                      <w:w w:val="55"/>
                      <w:sz w:val="13"/>
                    </w:rPr>
                    <w:t>/</w:t>
                  </w:r>
                  <w:r>
                    <w:rPr>
                      <w:color w:val="586670"/>
                      <w:spacing w:val="3"/>
                      <w:w w:val="105"/>
                      <w:sz w:val="13"/>
                    </w:rPr>
                    <w:t>c</w:t>
                  </w:r>
                  <w:r>
                    <w:rPr>
                      <w:color w:val="586670"/>
                      <w:spacing w:val="2"/>
                      <w:w w:val="106"/>
                      <w:sz w:val="13"/>
                    </w:rPr>
                    <w:t>o</w:t>
                  </w:r>
                  <w:r>
                    <w:rPr>
                      <w:color w:val="586670"/>
                      <w:spacing w:val="3"/>
                      <w:w w:val="88"/>
                      <w:sz w:val="13"/>
                    </w:rPr>
                    <w:t>r</w:t>
                  </w:r>
                  <w:r>
                    <w:rPr>
                      <w:color w:val="586670"/>
                      <w:spacing w:val="3"/>
                      <w:w w:val="104"/>
                      <w:sz w:val="13"/>
                    </w:rPr>
                    <w:t>p</w:t>
                  </w:r>
                  <w:r>
                    <w:rPr>
                      <w:color w:val="586670"/>
                      <w:spacing w:val="2"/>
                      <w:w w:val="106"/>
                      <w:sz w:val="13"/>
                    </w:rPr>
                    <w:t>o</w:t>
                  </w:r>
                  <w:r>
                    <w:rPr>
                      <w:color w:val="586670"/>
                      <w:spacing w:val="3"/>
                      <w:w w:val="88"/>
                      <w:sz w:val="13"/>
                    </w:rPr>
                    <w:t>r</w:t>
                  </w:r>
                  <w:r>
                    <w:rPr>
                      <w:color w:val="586670"/>
                      <w:spacing w:val="1"/>
                      <w:w w:val="98"/>
                      <w:sz w:val="13"/>
                    </w:rPr>
                    <w:t>a</w:t>
                  </w:r>
                  <w:r>
                    <w:rPr>
                      <w:color w:val="586670"/>
                      <w:spacing w:val="1"/>
                      <w:w w:val="81"/>
                      <w:sz w:val="13"/>
                    </w:rPr>
                    <w:t>t</w:t>
                  </w:r>
                  <w:r>
                    <w:rPr>
                      <w:color w:val="586670"/>
                      <w:spacing w:val="3"/>
                      <w:w w:val="97"/>
                      <w:sz w:val="13"/>
                    </w:rPr>
                    <w:t>e</w:t>
                  </w:r>
                  <w:r>
                    <w:rPr>
                      <w:color w:val="586670"/>
                      <w:spacing w:val="2"/>
                      <w:w w:val="117"/>
                      <w:sz w:val="13"/>
                    </w:rPr>
                    <w:t>g</w:t>
                  </w:r>
                  <w:r>
                    <w:rPr>
                      <w:color w:val="586670"/>
                      <w:spacing w:val="1"/>
                      <w:w w:val="106"/>
                      <w:sz w:val="13"/>
                    </w:rPr>
                    <w:t>o</w:t>
                  </w:r>
                  <w:r>
                    <w:rPr>
                      <w:color w:val="586670"/>
                      <w:spacing w:val="1"/>
                      <w:w w:val="104"/>
                      <w:sz w:val="13"/>
                    </w:rPr>
                    <w:t>v</w:t>
                  </w:r>
                  <w:r>
                    <w:rPr>
                      <w:color w:val="586670"/>
                      <w:spacing w:val="2"/>
                      <w:w w:val="97"/>
                      <w:sz w:val="13"/>
                    </w:rPr>
                    <w:t>e</w:t>
                  </w:r>
                  <w:r>
                    <w:rPr>
                      <w:color w:val="586670"/>
                      <w:spacing w:val="3"/>
                      <w:w w:val="88"/>
                      <w:sz w:val="13"/>
                    </w:rPr>
                    <w:t>r</w:t>
                  </w:r>
                  <w:r>
                    <w:rPr>
                      <w:color w:val="586670"/>
                      <w:spacing w:val="2"/>
                      <w:w w:val="105"/>
                      <w:sz w:val="13"/>
                    </w:rPr>
                    <w:t>n</w:t>
                  </w:r>
                  <w:r>
                    <w:rPr>
                      <w:color w:val="586670"/>
                      <w:spacing w:val="1"/>
                      <w:w w:val="98"/>
                      <w:sz w:val="13"/>
                    </w:rPr>
                    <w:t>a</w:t>
                  </w:r>
                  <w:r>
                    <w:rPr>
                      <w:color w:val="586670"/>
                      <w:spacing w:val="2"/>
                      <w:w w:val="105"/>
                      <w:sz w:val="13"/>
                    </w:rPr>
                    <w:t>n</w:t>
                  </w:r>
                  <w:r>
                    <w:rPr>
                      <w:color w:val="586670"/>
                      <w:spacing w:val="3"/>
                      <w:w w:val="105"/>
                      <w:sz w:val="13"/>
                    </w:rPr>
                    <w:t>c</w:t>
                  </w:r>
                  <w:r>
                    <w:rPr>
                      <w:color w:val="586670"/>
                      <w:spacing w:val="1"/>
                      <w:w w:val="97"/>
                      <w:sz w:val="13"/>
                    </w:rPr>
                    <w:t>e</w:t>
                  </w:r>
                  <w:r>
                    <w:rPr>
                      <w:color w:val="586670"/>
                      <w:w w:val="76"/>
                      <w:sz w:val="13"/>
                    </w:rPr>
                    <w:t>.</w:t>
                  </w:r>
                </w:hyperlink>
              </w:p>
            </w:txbxContent>
          </v:textbox>
          <w10:wrap type="none"/>
        </v:shape>
      </w:pict>
    </w:r>
    <w:r>
      <w:rPr/>
      <w:pict>
        <v:shape style="position:absolute;margin-left:50.023602pt;margin-top:700.762207pt;width:206pt;height:10.75pt;mso-position-horizontal-relative:page;mso-position-vertical-relative:page;z-index:-116968"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r>
      <w:rPr/>
      <w:pict>
        <v:shape style="position:absolute;margin-left:555.419983pt;margin-top:700.559814pt;width:13.6pt;height:10.95pt;mso-position-horizontal-relative:page;mso-position-vertical-relative:page;z-index:-116944"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23</w:t>
                </w:r>
                <w:r>
                  <w:rPr/>
                  <w:fldChar w:fldCharType="end"/>
                </w:r>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3.6pt;height:10.95pt;mso-position-horizontal-relative:page;mso-position-vertical-relative:page;z-index:-116920"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22</w:t>
                </w:r>
                <w:r>
                  <w:rPr/>
                  <w:fldChar w:fldCharType="end"/>
                </w:r>
              </w:p>
            </w:txbxContent>
          </v:textbox>
          <w10:wrap type="none"/>
        </v:shape>
      </w:pict>
    </w:r>
    <w:r>
      <w:rPr/>
      <w:pict>
        <v:shape style="position:absolute;margin-left:339.26001pt;margin-top:700.762207pt;width:206pt;height:10.75pt;mso-position-horizontal-relative:page;mso-position-vertical-relative:page;z-index:-116896"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700.762207pt;width:206pt;height:10.75pt;mso-position-horizontal-relative:page;mso-position-vertical-relative:page;z-index:-116872"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r>
      <w:rPr/>
      <w:pict>
        <v:shape style="position:absolute;margin-left:555.322998pt;margin-top:700.559814pt;width:13.8pt;height:10.95pt;mso-position-horizontal-relative:page;mso-position-vertical-relative:page;z-index:-116848"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33</w:t>
                </w:r>
                <w:r>
                  <w:rPr/>
                  <w:fldChar w:fldCharType="end"/>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3.5pt;height:10.95pt;mso-position-horizontal-relative:page;mso-position-vertical-relative:page;z-index:-116824"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26</w:t>
                </w:r>
                <w:r>
                  <w:rPr/>
                  <w:fldChar w:fldCharType="end"/>
                </w:r>
              </w:p>
            </w:txbxContent>
          </v:textbox>
          <w10:wrap type="none"/>
        </v:shape>
      </w:pict>
    </w:r>
    <w:r>
      <w:rPr/>
      <w:pict>
        <v:shape style="position:absolute;margin-left:339.26001pt;margin-top:700.762207pt;width:206pt;height:10.75pt;mso-position-horizontal-relative:page;mso-position-vertical-relative:page;z-index:-116800"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3.6pt;height:10.95pt;mso-position-horizontal-relative:page;mso-position-vertical-relative:page;z-index:-116728"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28</w:t>
                </w:r>
                <w:r>
                  <w:rPr/>
                  <w:fldChar w:fldCharType="end"/>
                </w:r>
              </w:p>
            </w:txbxContent>
          </v:textbox>
          <w10:wrap type="none"/>
        </v:shape>
      </w:pict>
    </w:r>
    <w:r>
      <w:rPr/>
      <w:pict>
        <v:shape style="position:absolute;margin-left:339.26001pt;margin-top:700.762207pt;width:206pt;height:10.75pt;mso-position-horizontal-relative:page;mso-position-vertical-relative:page;z-index:-116704"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700.762207pt;width:206pt;height:10.75pt;mso-position-horizontal-relative:page;mso-position-vertical-relative:page;z-index:-116680"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r>
      <w:rPr/>
      <w:pict>
        <v:shape style="position:absolute;margin-left:555.413025pt;margin-top:700.559814pt;width:13.65pt;height:10.95pt;mso-position-horizontal-relative:page;mso-position-vertical-relative:page;z-index:-116656"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29</w:t>
                </w:r>
                <w:r>
                  <w:rPr/>
                  <w:fldChar w:fldCharType="end"/>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3.75pt;height:10.95pt;mso-position-horizontal-relative:page;mso-position-vertical-relative:page;z-index:-116392"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30</w:t>
                </w:r>
                <w:r>
                  <w:rPr/>
                  <w:fldChar w:fldCharType="end"/>
                </w:r>
              </w:p>
            </w:txbxContent>
          </v:textbox>
          <w10:wrap type="none"/>
        </v:shape>
      </w:pict>
    </w:r>
    <w:r>
      <w:rPr/>
      <w:pict>
        <v:shape style="position:absolute;margin-left:339.26001pt;margin-top:700.762207pt;width:206pt;height:10.75pt;mso-position-horizontal-relative:page;mso-position-vertical-relative:page;z-index:-116368"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700.762207pt;width:206pt;height:10.75pt;mso-position-horizontal-relative:page;mso-position-vertical-relative:page;z-index:-116344"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r>
      <w:rPr/>
      <w:pict>
        <v:shape style="position:absolute;margin-left:555.687012pt;margin-top:700.559814pt;width:13.1pt;height:10.95pt;mso-position-horizontal-relative:page;mso-position-vertical-relative:page;z-index:-116320"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31</w:t>
                </w:r>
                <w:r>
                  <w:rPr/>
                  <w:fldChar w:fldCharType="end"/>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3.8pt;height:10.95pt;mso-position-horizontal-relative:page;mso-position-vertical-relative:page;z-index:-116056"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34</w:t>
                </w:r>
                <w:r>
                  <w:rPr/>
                  <w:fldChar w:fldCharType="end"/>
                </w:r>
              </w:p>
            </w:txbxContent>
          </v:textbox>
          <w10:wrap type="none"/>
        </v:shape>
      </w:pict>
    </w:r>
    <w:r>
      <w:rPr/>
      <w:pict>
        <v:shape style="position:absolute;margin-left:339.26001pt;margin-top:700.762207pt;width:206pt;height:10.75pt;mso-position-horizontal-relative:page;mso-position-vertical-relative:page;z-index:-116032"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5.387024pt;margin-top:700.559814pt;width:13.7pt;height:10.95pt;mso-position-horizontal-relative:page;mso-position-vertical-relative:page;z-index:-116008"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35</w:t>
                </w:r>
                <w:r>
                  <w:rPr/>
                  <w:fldChar w:fldCharType="end"/>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3.7pt;height:10.95pt;mso-position-horizontal-relative:page;mso-position-vertical-relative:page;z-index:-115984"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36</w:t>
                </w:r>
                <w:r>
                  <w:rPr/>
                  <w:fldChar w:fldCharType="end"/>
                </w:r>
              </w:p>
            </w:txbxContent>
          </v:textbox>
          <w10:wrap type="none"/>
        </v:shape>
      </w:pict>
    </w:r>
    <w:r>
      <w:rPr/>
      <w:pict>
        <v:shape style="position:absolute;margin-left:339.26001pt;margin-top:700.762207pt;width:206pt;height:10.75pt;mso-position-horizontal-relative:page;mso-position-vertical-relative:page;z-index:-115960"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700.762207pt;width:206pt;height:10.75pt;mso-position-horizontal-relative:page;mso-position-vertical-relative:page;z-index:-115936"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r>
      <w:rPr/>
      <w:pict>
        <v:shape style="position:absolute;margin-left:555.215027pt;margin-top:700.559814pt;width:14.05pt;height:10.95pt;mso-position-horizontal-relative:page;mso-position-vertical-relative:page;z-index:-115912"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43</w:t>
                </w:r>
                <w:r>
                  <w:rPr/>
                  <w:fldChar w:fldCharType="end"/>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5.674011pt;margin-top:700.559814pt;width:13.1pt;height:10.95pt;mso-position-horizontal-relative:page;mso-position-vertical-relative:page;z-index:-115840"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47</w:t>
                </w:r>
                <w:r>
                  <w:rPr/>
                  <w:fldChar w:fldCharType="end"/>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3.95pt;height:10.95pt;mso-position-horizontal-relative:page;mso-position-vertical-relative:page;z-index:-115816"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48</w:t>
                </w:r>
                <w:r>
                  <w:rPr/>
                  <w:fldChar w:fldCharType="end"/>
                </w:r>
              </w:p>
            </w:txbxContent>
          </v:textbox>
          <w10:wrap type="none"/>
        </v:shape>
      </w:pict>
    </w:r>
    <w:r>
      <w:rPr/>
      <w:pict>
        <v:shape style="position:absolute;margin-left:339.26001pt;margin-top:700.762207pt;width:206pt;height:10.75pt;mso-position-horizontal-relative:page;mso-position-vertical-relative:page;z-index:-115792"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700.762207pt;width:206pt;height:10.75pt;mso-position-horizontal-relative:page;mso-position-vertical-relative:page;z-index:-115720"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r>
      <w:rPr/>
      <w:pict>
        <v:shape style="position:absolute;margin-left:555.260986pt;margin-top:700.559814pt;width:13.95pt;height:10.95pt;mso-position-horizontal-relative:page;mso-position-vertical-relative:page;z-index:-115696"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49</w:t>
                </w:r>
                <w:r>
                  <w:rPr/>
                  <w:fldChar w:fldCharType="end"/>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346399pt;margin-top:700.559814pt;width:13.7pt;height:10.95pt;mso-position-horizontal-relative:page;mso-position-vertical-relative:page;z-index:-115672" type="#_x0000_t202" filled="false" stroked="false">
          <v:textbox inset="0,0,0,0">
            <w:txbxContent>
              <w:p>
                <w:pPr>
                  <w:spacing w:before="23"/>
                  <w:ind w:left="40" w:right="0" w:firstLine="0"/>
                  <w:jc w:val="left"/>
                  <w:rPr>
                    <w:b/>
                    <w:sz w:val="15"/>
                  </w:rPr>
                </w:pPr>
                <w:r>
                  <w:rPr/>
                  <w:fldChar w:fldCharType="begin"/>
                </w:r>
                <w:r>
                  <w:rPr>
                    <w:b/>
                    <w:color w:val="586670"/>
                    <w:w w:val="105"/>
                    <w:sz w:val="15"/>
                  </w:rPr>
                  <w:instrText> PAGE </w:instrText>
                </w:r>
                <w:r>
                  <w:rPr/>
                  <w:fldChar w:fldCharType="separate"/>
                </w:r>
                <w:r>
                  <w:rPr/>
                  <w:t>50</w:t>
                </w:r>
                <w:r>
                  <w:rPr/>
                  <w:fldChar w:fldCharType="end"/>
                </w:r>
              </w:p>
            </w:txbxContent>
          </v:textbox>
          <w10:wrap type="none"/>
        </v:shape>
      </w:pict>
    </w:r>
    <w:r>
      <w:rPr/>
      <w:pict>
        <v:shape style="position:absolute;margin-left:339.26001pt;margin-top:700.762207pt;width:206pt;height:10.75pt;mso-position-horizontal-relative:page;mso-position-vertical-relative:page;z-index:-115648" type="#_x0000_t202" filled="false" stroked="false">
          <v:textbox inset="0,0,0,0">
            <w:txbxContent>
              <w:p>
                <w:pPr>
                  <w:spacing w:before="21"/>
                  <w:ind w:left="20" w:right="0" w:firstLine="0"/>
                  <w:jc w:val="left"/>
                  <w:rPr>
                    <w:sz w:val="15"/>
                  </w:rPr>
                </w:pPr>
                <w:r>
                  <w:rPr>
                    <w:color w:val="586670"/>
                    <w:sz w:val="15"/>
                  </w:rPr>
                  <w:t>Nestlé Annual Report 2013 I Corporate Governance Report</w:t>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r>
      <w:rPr/>
      <w:pict>
        <v:rect style="position:absolute;margin-left:0pt;margin-top:-.000004pt;width:595.275pt;height:737.008pt;mso-position-horizontal-relative:page;mso-position-vertical-relative:page;z-index:-117376" filled="true" fillcolor="#e6e8e9" stroked="false">
          <v:fill type="solid"/>
          <w10:wrap type="none"/>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32.154495pt;width:65.55pt;height:10.95pt;mso-position-horizontal-relative:page;mso-position-vertical-relative:page;z-index:-117160" type="#_x0000_t202" filled="false" stroked="false">
          <v:textbox inset="0,0,0,0">
            <w:txbxContent>
              <w:p>
                <w:pPr>
                  <w:spacing w:before="23"/>
                  <w:ind w:left="20" w:right="0" w:firstLine="0"/>
                  <w:jc w:val="left"/>
                  <w:rPr>
                    <w:b/>
                    <w:sz w:val="15"/>
                  </w:rPr>
                </w:pPr>
                <w:r>
                  <w:rPr>
                    <w:b/>
                    <w:color w:val="586670"/>
                    <w:w w:val="105"/>
                    <w:sz w:val="15"/>
                  </w:rPr>
                  <w:t>Capital structure</w:t>
                </w:r>
              </w:p>
            </w:txbxContent>
          </v:textbox>
          <w10:wrap type="non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32.154495pt;width:71.45pt;height:10.95pt;mso-position-horizontal-relative:page;mso-position-vertical-relative:page;z-index:-117136" type="#_x0000_t202" filled="false" stroked="false">
          <v:textbox inset="0,0,0,0">
            <w:txbxContent>
              <w:p>
                <w:pPr>
                  <w:spacing w:before="23"/>
                  <w:ind w:left="20" w:right="0" w:firstLine="0"/>
                  <w:jc w:val="left"/>
                  <w:rPr>
                    <w:b/>
                    <w:sz w:val="15"/>
                  </w:rPr>
                </w:pPr>
                <w:r>
                  <w:rPr>
                    <w:b/>
                    <w:color w:val="586670"/>
                    <w:w w:val="105"/>
                    <w:sz w:val="15"/>
                  </w:rPr>
                  <w:t>Board of Directors</w:t>
                </w:r>
              </w:p>
            </w:txbxContent>
          </v:textbox>
          <w10:wrap type="non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6399pt;margin-top:32.154495pt;width:71.45pt;height:10.95pt;mso-position-horizontal-relative:page;mso-position-vertical-relative:page;z-index:-117112" type="#_x0000_t202" filled="false" stroked="false">
          <v:textbox inset="0,0,0,0">
            <w:txbxContent>
              <w:p>
                <w:pPr>
                  <w:spacing w:before="23"/>
                  <w:ind w:left="20" w:right="0" w:firstLine="0"/>
                  <w:jc w:val="left"/>
                  <w:rPr>
                    <w:b/>
                    <w:sz w:val="15"/>
                  </w:rPr>
                </w:pPr>
                <w:r>
                  <w:rPr>
                    <w:b/>
                    <w:color w:val="586670"/>
                    <w:w w:val="105"/>
                    <w:sz w:val="15"/>
                  </w:rPr>
                  <w:t>Board of Directors</w:t>
                </w:r>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6399pt;margin-top:32.154495pt;width:63.2pt;height:10.95pt;mso-position-horizontal-relative:page;mso-position-vertical-relative:page;z-index:-116776" type="#_x0000_t202" filled="false" stroked="false">
          <v:textbox inset="0,0,0,0">
            <w:txbxContent>
              <w:p>
                <w:pPr>
                  <w:spacing w:before="23"/>
                  <w:ind w:left="20" w:right="0" w:firstLine="0"/>
                  <w:jc w:val="left"/>
                  <w:rPr>
                    <w:b/>
                    <w:sz w:val="15"/>
                  </w:rPr>
                </w:pPr>
                <w:r>
                  <w:rPr>
                    <w:b/>
                    <w:color w:val="586670"/>
                    <w:w w:val="105"/>
                    <w:sz w:val="15"/>
                  </w:rPr>
                  <w:t>Executive Board</w:t>
                </w:r>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6399pt;margin-top:32.154495pt;width:63.2pt;height:10.95pt;mso-position-horizontal-relative:page;mso-position-vertical-relative:page;z-index:-116752" type="#_x0000_t202" filled="false" stroked="false">
          <v:textbox inset="0,0,0,0">
            <w:txbxContent>
              <w:p>
                <w:pPr>
                  <w:spacing w:before="23"/>
                  <w:ind w:left="20" w:right="0" w:firstLine="0"/>
                  <w:jc w:val="left"/>
                  <w:rPr>
                    <w:b/>
                    <w:sz w:val="15"/>
                  </w:rPr>
                </w:pPr>
                <w:r>
                  <w:rPr>
                    <w:b/>
                    <w:color w:val="586670"/>
                    <w:w w:val="105"/>
                    <w:sz w:val="15"/>
                  </w:rPr>
                  <w:t>Executive Board</w:t>
                </w:r>
              </w:p>
            </w:txbxContent>
          </v:textbox>
          <w10:wrap type="none"/>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116632" from="28.346399pt,148.472pt" to="148.818399pt,148.472pt" stroked="true" strokeweight=".25pt" strokecolor="#231f20">
          <v:stroke dashstyle="solid"/>
          <w10:wrap type="none"/>
        </v:line>
      </w:pict>
    </w:r>
    <w:r>
      <w:rPr/>
      <w:pict>
        <v:line style="position:absolute;mso-position-horizontal-relative:page;mso-position-vertical-relative:page;z-index:-116608" from="160.158005pt,148.472pt" to="280.630005pt,148.472pt" stroked="true" strokeweight=".25pt" strokecolor="#231f20">
          <v:stroke dashstyle="solid"/>
          <w10:wrap type="none"/>
        </v:line>
      </w:pict>
    </w:r>
    <w:r>
      <w:rPr/>
      <w:pict>
        <v:line style="position:absolute;mso-position-horizontal-relative:page;mso-position-vertical-relative:page;z-index:-116584" from="291.967987pt,148.472pt" to="412.439987pt,148.472pt" stroked="true" strokeweight=".25pt" strokecolor="#231f20">
          <v:stroke dashstyle="solid"/>
          <w10:wrap type="none"/>
        </v:line>
      </w:pict>
    </w:r>
    <w:r>
      <w:rPr/>
      <w:pict>
        <v:line style="position:absolute;mso-position-horizontal-relative:page;mso-position-vertical-relative:page;z-index:-116560" from="423.779999pt,148.472pt" to="544.251999pt,148.472pt" stroked="true" strokeweight=".25pt" strokecolor="#231f20">
          <v:stroke dashstyle="solid"/>
          <w10:wrap type="none"/>
        </v:line>
      </w:pict>
    </w:r>
    <w:r>
      <w:rPr/>
      <w:pict>
        <v:shape style="position:absolute;margin-left:27.6299pt;margin-top:51.521996pt;width:144.450pt;height:16.55pt;mso-position-horizontal-relative:page;mso-position-vertical-relative:page;z-index:-116536" type="#_x0000_t202" filled="false" stroked="false">
          <v:textbox inset="0,0,0,0">
            <w:txbxContent>
              <w:p>
                <w:pPr>
                  <w:spacing w:before="21"/>
                  <w:ind w:left="20" w:right="0" w:firstLine="0"/>
                  <w:jc w:val="left"/>
                  <w:rPr>
                    <w:sz w:val="25"/>
                  </w:rPr>
                </w:pPr>
                <w:r>
                  <w:rPr>
                    <w:color w:val="0083CA"/>
                    <w:spacing w:val="-7"/>
                    <w:w w:val="128"/>
                    <w:sz w:val="25"/>
                  </w:rPr>
                  <w:t>S</w:t>
                </w:r>
                <w:r>
                  <w:rPr>
                    <w:color w:val="0083CA"/>
                    <w:spacing w:val="-5"/>
                    <w:w w:val="105"/>
                    <w:sz w:val="25"/>
                  </w:rPr>
                  <w:t>h</w:t>
                </w:r>
                <w:r>
                  <w:rPr>
                    <w:color w:val="0083CA"/>
                    <w:spacing w:val="-8"/>
                    <w:w w:val="98"/>
                    <w:sz w:val="25"/>
                  </w:rPr>
                  <w:t>a</w:t>
                </w:r>
                <w:r>
                  <w:rPr>
                    <w:color w:val="0083CA"/>
                    <w:spacing w:val="-6"/>
                    <w:w w:val="88"/>
                    <w:sz w:val="25"/>
                  </w:rPr>
                  <w:t>r</w:t>
                </w:r>
                <w:r>
                  <w:rPr>
                    <w:color w:val="0083CA"/>
                    <w:spacing w:val="-6"/>
                    <w:w w:val="97"/>
                    <w:sz w:val="25"/>
                  </w:rPr>
                  <w:t>e</w:t>
                </w:r>
                <w:r>
                  <w:rPr>
                    <w:color w:val="0083CA"/>
                    <w:spacing w:val="-6"/>
                    <w:w w:val="105"/>
                    <w:sz w:val="25"/>
                  </w:rPr>
                  <w:t>ho</w:t>
                </w:r>
                <w:r>
                  <w:rPr>
                    <w:color w:val="0083CA"/>
                    <w:spacing w:val="-6"/>
                    <w:w w:val="79"/>
                    <w:sz w:val="25"/>
                  </w:rPr>
                  <w:t>l</w:t>
                </w:r>
                <w:r>
                  <w:rPr>
                    <w:color w:val="0083CA"/>
                    <w:spacing w:val="-6"/>
                    <w:w w:val="104"/>
                    <w:sz w:val="25"/>
                  </w:rPr>
                  <w:t>d</w:t>
                </w:r>
                <w:r>
                  <w:rPr>
                    <w:color w:val="0083CA"/>
                    <w:spacing w:val="-6"/>
                    <w:w w:val="97"/>
                    <w:sz w:val="25"/>
                  </w:rPr>
                  <w:t>e</w:t>
                </w:r>
                <w:r>
                  <w:rPr>
                    <w:color w:val="0083CA"/>
                    <w:spacing w:val="-3"/>
                    <w:w w:val="88"/>
                    <w:sz w:val="25"/>
                  </w:rPr>
                  <w:t>r</w:t>
                </w:r>
                <w:r>
                  <w:rPr>
                    <w:color w:val="0083CA"/>
                    <w:spacing w:val="-11"/>
                    <w:w w:val="118"/>
                    <w:sz w:val="25"/>
                  </w:rPr>
                  <w:t>s</w:t>
                </w:r>
                <w:r>
                  <w:rPr>
                    <w:color w:val="0083CA"/>
                    <w:w w:val="62"/>
                    <w:sz w:val="25"/>
                  </w:rPr>
                  <w:t>’</w:t>
                </w:r>
                <w:r>
                  <w:rPr>
                    <w:color w:val="0083CA"/>
                    <w:spacing w:val="-20"/>
                    <w:sz w:val="25"/>
                  </w:rPr>
                  <w:t> </w:t>
                </w:r>
                <w:r>
                  <w:rPr>
                    <w:color w:val="0083CA"/>
                    <w:spacing w:val="-3"/>
                    <w:w w:val="104"/>
                    <w:sz w:val="25"/>
                  </w:rPr>
                  <w:t>p</w:t>
                </w:r>
                <w:r>
                  <w:rPr>
                    <w:color w:val="0083CA"/>
                    <w:spacing w:val="-8"/>
                    <w:w w:val="98"/>
                    <w:sz w:val="25"/>
                  </w:rPr>
                  <w:t>a</w:t>
                </w:r>
                <w:r>
                  <w:rPr>
                    <w:color w:val="0083CA"/>
                    <w:spacing w:val="4"/>
                    <w:w w:val="88"/>
                    <w:sz w:val="25"/>
                  </w:rPr>
                  <w:t>r</w:t>
                </w:r>
                <w:r>
                  <w:rPr>
                    <w:color w:val="0083CA"/>
                    <w:spacing w:val="-6"/>
                    <w:w w:val="91"/>
                    <w:sz w:val="25"/>
                  </w:rPr>
                  <w:t>ti</w:t>
                </w:r>
                <w:r>
                  <w:rPr>
                    <w:color w:val="0083CA"/>
                    <w:spacing w:val="-5"/>
                    <w:w w:val="91"/>
                    <w:sz w:val="25"/>
                  </w:rPr>
                  <w:t>c</w:t>
                </w:r>
                <w:r>
                  <w:rPr>
                    <w:color w:val="0083CA"/>
                    <w:spacing w:val="-8"/>
                    <w:w w:val="81"/>
                    <w:sz w:val="25"/>
                  </w:rPr>
                  <w:t>i</w:t>
                </w:r>
                <w:r>
                  <w:rPr>
                    <w:color w:val="0083CA"/>
                    <w:spacing w:val="-3"/>
                    <w:w w:val="104"/>
                    <w:sz w:val="25"/>
                  </w:rPr>
                  <w:t>p</w:t>
                </w:r>
                <w:r>
                  <w:rPr>
                    <w:color w:val="0083CA"/>
                    <w:spacing w:val="-8"/>
                    <w:w w:val="98"/>
                    <w:sz w:val="25"/>
                  </w:rPr>
                  <w:t>a</w:t>
                </w:r>
                <w:r>
                  <w:rPr>
                    <w:color w:val="0083CA"/>
                    <w:spacing w:val="-6"/>
                    <w:w w:val="92"/>
                    <w:sz w:val="25"/>
                  </w:rPr>
                  <w:t>tio</w:t>
                </w:r>
                <w:r>
                  <w:rPr>
                    <w:color w:val="0083CA"/>
                    <w:w w:val="105"/>
                    <w:sz w:val="25"/>
                  </w:rPr>
                  <w:t>n</w:t>
                </w:r>
              </w:p>
            </w:txbxContent>
          </v:textbox>
          <w10:wrap type="non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116512" from="51.023602pt,148.472pt" to="171.495602pt,148.472pt" stroked="true" strokeweight=".25pt" strokecolor="#231f20">
          <v:stroke dashstyle="solid"/>
          <w10:wrap type="none"/>
        </v:line>
      </w:pict>
    </w:r>
    <w:r>
      <w:rPr/>
      <w:pict>
        <v:line style="position:absolute;mso-position-horizontal-relative:page;mso-position-vertical-relative:page;z-index:-116488" from="182.835007pt,148.472pt" to="303.307007pt,148.472pt" stroked="true" strokeweight=".25pt" strokecolor="#231f20">
          <v:stroke dashstyle="solid"/>
          <w10:wrap type="none"/>
        </v:line>
      </w:pict>
    </w:r>
    <w:r>
      <w:rPr/>
      <w:pict>
        <v:line style="position:absolute;mso-position-horizontal-relative:page;mso-position-vertical-relative:page;z-index:-116464" from="314.645996pt,148.472pt" to="435.117996pt,148.472pt" stroked="true" strokeweight=".25pt" strokecolor="#231f20">
          <v:stroke dashstyle="solid"/>
          <w10:wrap type="none"/>
        </v:line>
      </w:pict>
    </w:r>
    <w:r>
      <w:rPr/>
      <w:pict>
        <v:line style="position:absolute;mso-position-horizontal-relative:page;mso-position-vertical-relative:page;z-index:-116440" from="446.457001pt,148.472pt" to="566.929001pt,148.472pt" stroked="true" strokeweight=".25pt" strokecolor="#231f20">
          <v:stroke dashstyle="solid"/>
          <w10:wrap type="none"/>
        </v:line>
      </w:pict>
    </w:r>
    <w:r>
      <w:rPr/>
      <w:pict>
        <v:shape style="position:absolute;margin-left:50.023602pt;margin-top:51.521996pt;width:221.5pt;height:16.55pt;mso-position-horizontal-relative:page;mso-position-vertical-relative:page;z-index:-116416" type="#_x0000_t202" filled="false" stroked="false">
          <v:textbox inset="0,0,0,0">
            <w:txbxContent>
              <w:p>
                <w:pPr>
                  <w:spacing w:before="21"/>
                  <w:ind w:left="20" w:right="0" w:firstLine="0"/>
                  <w:jc w:val="left"/>
                  <w:rPr>
                    <w:sz w:val="25"/>
                  </w:rPr>
                </w:pPr>
                <w:r>
                  <w:rPr>
                    <w:color w:val="0083CA"/>
                    <w:spacing w:val="-6"/>
                    <w:sz w:val="25"/>
                  </w:rPr>
                  <w:t>Change </w:t>
                </w:r>
                <w:r>
                  <w:rPr>
                    <w:color w:val="0083CA"/>
                    <w:spacing w:val="-4"/>
                    <w:sz w:val="25"/>
                  </w:rPr>
                  <w:t>of </w:t>
                </w:r>
                <w:r>
                  <w:rPr>
                    <w:color w:val="0083CA"/>
                    <w:spacing w:val="-6"/>
                    <w:sz w:val="25"/>
                  </w:rPr>
                  <w:t>control </w:t>
                </w:r>
                <w:r>
                  <w:rPr>
                    <w:color w:val="0083CA"/>
                    <w:spacing w:val="-5"/>
                    <w:sz w:val="25"/>
                  </w:rPr>
                  <w:t>and </w:t>
                </w:r>
                <w:r>
                  <w:rPr>
                    <w:color w:val="0083CA"/>
                    <w:spacing w:val="-6"/>
                    <w:sz w:val="25"/>
                  </w:rPr>
                  <w:t>defence measures</w:t>
                </w:r>
              </w:p>
            </w:txbxContent>
          </v:textbox>
          <w10:wrap type="non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116296" from="28.346399pt,148.472pt" to="148.818399pt,148.472pt" stroked="true" strokeweight=".25pt" strokecolor="#231f20">
          <v:stroke dashstyle="solid"/>
          <w10:wrap type="none"/>
        </v:line>
      </w:pict>
    </w:r>
    <w:r>
      <w:rPr/>
      <w:pict>
        <v:line style="position:absolute;mso-position-horizontal-relative:page;mso-position-vertical-relative:page;z-index:-116272" from="160.158005pt,148.472pt" to="280.630005pt,148.472pt" stroked="true" strokeweight=".25pt" strokecolor="#231f20">
          <v:stroke dashstyle="solid"/>
          <w10:wrap type="none"/>
        </v:line>
      </w:pict>
    </w:r>
    <w:r>
      <w:rPr/>
      <w:pict>
        <v:line style="position:absolute;mso-position-horizontal-relative:page;mso-position-vertical-relative:page;z-index:-116248" from="291.967987pt,148.472pt" to="412.439987pt,148.472pt" stroked="true" strokeweight=".25pt" strokecolor="#231f20">
          <v:stroke dashstyle="solid"/>
          <w10:wrap type="none"/>
        </v:line>
      </w:pict>
    </w:r>
    <w:r>
      <w:rPr/>
      <w:pict>
        <v:line style="position:absolute;mso-position-horizontal-relative:page;mso-position-vertical-relative:page;z-index:-116224" from="423.779999pt,148.472pt" to="544.251999pt,148.472pt" stroked="true" strokeweight=".25pt" strokecolor="#231f20">
          <v:stroke dashstyle="solid"/>
          <w10:wrap type="none"/>
        </v:line>
      </w:pict>
    </w:r>
    <w:r>
      <w:rPr/>
      <w:pict>
        <v:shape style="position:absolute;margin-left:27.346399pt;margin-top:51.521996pt;width:47.35pt;height:16.55pt;mso-position-horizontal-relative:page;mso-position-vertical-relative:page;z-index:-116200" type="#_x0000_t202" filled="false" stroked="false">
          <v:textbox inset="0,0,0,0">
            <w:txbxContent>
              <w:p>
                <w:pPr>
                  <w:spacing w:before="21"/>
                  <w:ind w:left="20" w:right="0" w:firstLine="0"/>
                  <w:jc w:val="left"/>
                  <w:rPr>
                    <w:sz w:val="25"/>
                  </w:rPr>
                </w:pPr>
                <w:r>
                  <w:rPr>
                    <w:color w:val="0083CA"/>
                    <w:sz w:val="25"/>
                  </w:rPr>
                  <w:t>Auditors</w:t>
                </w:r>
              </w:p>
            </w:txbxContent>
          </v:textbox>
          <w10:wrap type="none"/>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116176" from="51.023602pt,148.472pt" to="171.495602pt,148.472pt" stroked="true" strokeweight=".25pt" strokecolor="#231f20">
          <v:stroke dashstyle="solid"/>
          <w10:wrap type="none"/>
        </v:line>
      </w:pict>
    </w:r>
    <w:r>
      <w:rPr/>
      <w:pict>
        <v:line style="position:absolute;mso-position-horizontal-relative:page;mso-position-vertical-relative:page;z-index:-116152" from="182.835007pt,148.472pt" to="303.307007pt,148.472pt" stroked="true" strokeweight=".25pt" strokecolor="#231f20">
          <v:stroke dashstyle="solid"/>
          <w10:wrap type="none"/>
        </v:line>
      </w:pict>
    </w:r>
    <w:r>
      <w:rPr/>
      <w:pict>
        <v:line style="position:absolute;mso-position-horizontal-relative:page;mso-position-vertical-relative:page;z-index:-116128" from="314.645996pt,148.472pt" to="435.117996pt,148.472pt" stroked="true" strokeweight=".25pt" strokecolor="#231f20">
          <v:stroke dashstyle="solid"/>
          <w10:wrap type="none"/>
        </v:line>
      </w:pict>
    </w:r>
    <w:r>
      <w:rPr/>
      <w:pict>
        <v:line style="position:absolute;mso-position-horizontal-relative:page;mso-position-vertical-relative:page;z-index:-116104" from="446.457001pt,148.472pt" to="566.929001pt,148.472pt" stroked="true" strokeweight=".25pt" strokecolor="#231f20">
          <v:stroke dashstyle="solid"/>
          <w10:wrap type="none"/>
        </v:line>
      </w:pict>
    </w:r>
    <w:r>
      <w:rPr/>
      <w:pict>
        <v:shape style="position:absolute;margin-left:50.023602pt;margin-top:51.521996pt;width:98.25pt;height:16.55pt;mso-position-horizontal-relative:page;mso-position-vertical-relative:page;z-index:-116080" type="#_x0000_t202" filled="false" stroked="false">
          <v:textbox inset="0,0,0,0">
            <w:txbxContent>
              <w:p>
                <w:pPr>
                  <w:spacing w:before="21"/>
                  <w:ind w:left="20" w:right="0" w:firstLine="0"/>
                  <w:jc w:val="left"/>
                  <w:rPr>
                    <w:sz w:val="25"/>
                  </w:rPr>
                </w:pPr>
                <w:r>
                  <w:rPr>
                    <w:color w:val="0083CA"/>
                    <w:spacing w:val="-7"/>
                    <w:sz w:val="25"/>
                  </w:rPr>
                  <w:t>Information </w:t>
                </w:r>
                <w:r>
                  <w:rPr>
                    <w:color w:val="0083CA"/>
                    <w:spacing w:val="-5"/>
                    <w:sz w:val="25"/>
                  </w:rPr>
                  <w:t>policy</w:t>
                </w:r>
              </w:p>
            </w:txbxContent>
          </v:textbox>
          <w10:wrap type="non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32.154495pt;width:105.55pt;height:10.95pt;mso-position-horizontal-relative:page;mso-position-vertical-relative:page;z-index:-115888" type="#_x0000_t202" filled="false" stroked="false">
          <v:textbox inset="0,0,0,0">
            <w:txbxContent>
              <w:p>
                <w:pPr>
                  <w:spacing w:before="23"/>
                  <w:ind w:left="20" w:right="0" w:firstLine="0"/>
                  <w:jc w:val="left"/>
                  <w:rPr>
                    <w:b/>
                    <w:sz w:val="15"/>
                  </w:rPr>
                </w:pPr>
                <w:r>
                  <w:rPr>
                    <w:b/>
                    <w:color w:val="586670"/>
                    <w:w w:val="105"/>
                    <w:sz w:val="15"/>
                  </w:rPr>
                  <w:t>Compensation Report 2013</w:t>
                </w:r>
              </w:p>
            </w:txbxContent>
          </v:textbox>
          <w10:wrap type="non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6399pt;margin-top:32.154495pt;width:105.55pt;height:10.95pt;mso-position-horizontal-relative:page;mso-position-vertical-relative:page;z-index:-115864" type="#_x0000_t202" filled="false" stroked="false">
          <v:textbox inset="0,0,0,0">
            <w:txbxContent>
              <w:p>
                <w:pPr>
                  <w:spacing w:before="23"/>
                  <w:ind w:left="20" w:right="0" w:firstLine="0"/>
                  <w:jc w:val="left"/>
                  <w:rPr>
                    <w:b/>
                    <w:sz w:val="15"/>
                  </w:rPr>
                </w:pPr>
                <w:r>
                  <w:rPr>
                    <w:b/>
                    <w:color w:val="586670"/>
                    <w:w w:val="105"/>
                    <w:sz w:val="15"/>
                  </w:rPr>
                  <w:t>Compensation Report 2013</w:t>
                </w:r>
              </w:p>
            </w:txbxContent>
          </v:textbox>
          <w10:wrap type="non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023602pt;margin-top:32.154495pt;width:142.450pt;height:10.95pt;mso-position-horizontal-relative:page;mso-position-vertical-relative:page;z-index:-115768" type="#_x0000_t202" filled="false" stroked="false">
          <v:textbox inset="0,0,0,0">
            <w:txbxContent>
              <w:p>
                <w:pPr>
                  <w:spacing w:before="23"/>
                  <w:ind w:left="20" w:right="0" w:firstLine="0"/>
                  <w:jc w:val="left"/>
                  <w:rPr>
                    <w:b/>
                    <w:sz w:val="15"/>
                  </w:rPr>
                </w:pPr>
                <w:r>
                  <w:rPr>
                    <w:b/>
                    <w:color w:val="586670"/>
                    <w:w w:val="105"/>
                    <w:sz w:val="15"/>
                  </w:rPr>
                  <w:t>Articles of Association of Nestlé S.A.</w:t>
                </w:r>
              </w:p>
            </w:txbxContent>
          </v:textbox>
          <w10:wrap type="none"/>
        </v:shape>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6399pt;margin-top:32.154495pt;width:142.450pt;height:10.95pt;mso-position-horizontal-relative:page;mso-position-vertical-relative:page;z-index:-115744" type="#_x0000_t202" filled="false" stroked="false">
          <v:textbox inset="0,0,0,0">
            <w:txbxContent>
              <w:p>
                <w:pPr>
                  <w:spacing w:before="23"/>
                  <w:ind w:left="20" w:right="0" w:firstLine="0"/>
                  <w:jc w:val="left"/>
                  <w:rPr>
                    <w:b/>
                    <w:sz w:val="15"/>
                  </w:rPr>
                </w:pPr>
                <w:r>
                  <w:rPr>
                    <w:b/>
                    <w:color w:val="586670"/>
                    <w:w w:val="105"/>
                    <w:sz w:val="15"/>
                  </w:rPr>
                  <w:t>Articles of Association of Nestlé S.A.</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44">
    <w:multiLevelType w:val="hybridMultilevel"/>
    <w:lvl w:ilvl="0">
      <w:start w:val="1"/>
      <w:numFmt w:val="decimal"/>
      <w:lvlText w:val="%1"/>
      <w:lvlJc w:val="left"/>
      <w:pPr>
        <w:ind w:left="333"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821" w:hanging="227"/>
      </w:pPr>
      <w:rPr>
        <w:rFonts w:hint="default"/>
      </w:rPr>
    </w:lvl>
    <w:lvl w:ilvl="2">
      <w:start w:val="0"/>
      <w:numFmt w:val="bullet"/>
      <w:lvlText w:val="•"/>
      <w:lvlJc w:val="left"/>
      <w:pPr>
        <w:ind w:left="1303" w:hanging="227"/>
      </w:pPr>
      <w:rPr>
        <w:rFonts w:hint="default"/>
      </w:rPr>
    </w:lvl>
    <w:lvl w:ilvl="3">
      <w:start w:val="0"/>
      <w:numFmt w:val="bullet"/>
      <w:lvlText w:val="•"/>
      <w:lvlJc w:val="left"/>
      <w:pPr>
        <w:ind w:left="1784" w:hanging="227"/>
      </w:pPr>
      <w:rPr>
        <w:rFonts w:hint="default"/>
      </w:rPr>
    </w:lvl>
    <w:lvl w:ilvl="4">
      <w:start w:val="0"/>
      <w:numFmt w:val="bullet"/>
      <w:lvlText w:val="•"/>
      <w:lvlJc w:val="left"/>
      <w:pPr>
        <w:ind w:left="2266" w:hanging="227"/>
      </w:pPr>
      <w:rPr>
        <w:rFonts w:hint="default"/>
      </w:rPr>
    </w:lvl>
    <w:lvl w:ilvl="5">
      <w:start w:val="0"/>
      <w:numFmt w:val="bullet"/>
      <w:lvlText w:val="•"/>
      <w:lvlJc w:val="left"/>
      <w:pPr>
        <w:ind w:left="2747" w:hanging="227"/>
      </w:pPr>
      <w:rPr>
        <w:rFonts w:hint="default"/>
      </w:rPr>
    </w:lvl>
    <w:lvl w:ilvl="6">
      <w:start w:val="0"/>
      <w:numFmt w:val="bullet"/>
      <w:lvlText w:val="•"/>
      <w:lvlJc w:val="left"/>
      <w:pPr>
        <w:ind w:left="3229" w:hanging="227"/>
      </w:pPr>
      <w:rPr>
        <w:rFonts w:hint="default"/>
      </w:rPr>
    </w:lvl>
    <w:lvl w:ilvl="7">
      <w:start w:val="0"/>
      <w:numFmt w:val="bullet"/>
      <w:lvlText w:val="•"/>
      <w:lvlJc w:val="left"/>
      <w:pPr>
        <w:ind w:left="3710" w:hanging="227"/>
      </w:pPr>
      <w:rPr>
        <w:rFonts w:hint="default"/>
      </w:rPr>
    </w:lvl>
    <w:lvl w:ilvl="8">
      <w:start w:val="0"/>
      <w:numFmt w:val="bullet"/>
      <w:lvlText w:val="•"/>
      <w:lvlJc w:val="left"/>
      <w:pPr>
        <w:ind w:left="4192" w:hanging="227"/>
      </w:pPr>
      <w:rPr>
        <w:rFonts w:hint="default"/>
      </w:rPr>
    </w:lvl>
  </w:abstractNum>
  <w:abstractNum w:abstractNumId="43">
    <w:multiLevelType w:val="hybridMultilevel"/>
    <w:lvl w:ilvl="0">
      <w:start w:val="1"/>
      <w:numFmt w:val="lowerLetter"/>
      <w:lvlText w:val="%1)"/>
      <w:lvlJc w:val="left"/>
      <w:pPr>
        <w:ind w:left="415" w:hanging="227"/>
        <w:jc w:val="right"/>
      </w:pPr>
      <w:rPr>
        <w:rFonts w:hint="default" w:ascii="Trebuchet MS" w:hAnsi="Trebuchet MS" w:eastAsia="Trebuchet MS" w:cs="Trebuchet MS"/>
        <w:color w:val="231F20"/>
        <w:spacing w:val="-5"/>
        <w:w w:val="93"/>
        <w:sz w:val="18"/>
        <w:szCs w:val="18"/>
      </w:rPr>
    </w:lvl>
    <w:lvl w:ilvl="1">
      <w:start w:val="0"/>
      <w:numFmt w:val="bullet"/>
      <w:lvlText w:val="•"/>
      <w:lvlJc w:val="left"/>
      <w:pPr>
        <w:ind w:left="912" w:hanging="227"/>
      </w:pPr>
      <w:rPr>
        <w:rFonts w:hint="default"/>
      </w:rPr>
    </w:lvl>
    <w:lvl w:ilvl="2">
      <w:start w:val="0"/>
      <w:numFmt w:val="bullet"/>
      <w:lvlText w:val="•"/>
      <w:lvlJc w:val="left"/>
      <w:pPr>
        <w:ind w:left="1404" w:hanging="227"/>
      </w:pPr>
      <w:rPr>
        <w:rFonts w:hint="default"/>
      </w:rPr>
    </w:lvl>
    <w:lvl w:ilvl="3">
      <w:start w:val="0"/>
      <w:numFmt w:val="bullet"/>
      <w:lvlText w:val="•"/>
      <w:lvlJc w:val="left"/>
      <w:pPr>
        <w:ind w:left="1896" w:hanging="227"/>
      </w:pPr>
      <w:rPr>
        <w:rFonts w:hint="default"/>
      </w:rPr>
    </w:lvl>
    <w:lvl w:ilvl="4">
      <w:start w:val="0"/>
      <w:numFmt w:val="bullet"/>
      <w:lvlText w:val="•"/>
      <w:lvlJc w:val="left"/>
      <w:pPr>
        <w:ind w:left="2388" w:hanging="227"/>
      </w:pPr>
      <w:rPr>
        <w:rFonts w:hint="default"/>
      </w:rPr>
    </w:lvl>
    <w:lvl w:ilvl="5">
      <w:start w:val="0"/>
      <w:numFmt w:val="bullet"/>
      <w:lvlText w:val="•"/>
      <w:lvlJc w:val="left"/>
      <w:pPr>
        <w:ind w:left="2880" w:hanging="227"/>
      </w:pPr>
      <w:rPr>
        <w:rFonts w:hint="default"/>
      </w:rPr>
    </w:lvl>
    <w:lvl w:ilvl="6">
      <w:start w:val="0"/>
      <w:numFmt w:val="bullet"/>
      <w:lvlText w:val="•"/>
      <w:lvlJc w:val="left"/>
      <w:pPr>
        <w:ind w:left="3372" w:hanging="227"/>
      </w:pPr>
      <w:rPr>
        <w:rFonts w:hint="default"/>
      </w:rPr>
    </w:lvl>
    <w:lvl w:ilvl="7">
      <w:start w:val="0"/>
      <w:numFmt w:val="bullet"/>
      <w:lvlText w:val="•"/>
      <w:lvlJc w:val="left"/>
      <w:pPr>
        <w:ind w:left="3864" w:hanging="227"/>
      </w:pPr>
      <w:rPr>
        <w:rFonts w:hint="default"/>
      </w:rPr>
    </w:lvl>
    <w:lvl w:ilvl="8">
      <w:start w:val="0"/>
      <w:numFmt w:val="bullet"/>
      <w:lvlText w:val="•"/>
      <w:lvlJc w:val="left"/>
      <w:pPr>
        <w:ind w:left="4357" w:hanging="227"/>
      </w:pPr>
      <w:rPr>
        <w:rFonts w:hint="default"/>
      </w:rPr>
    </w:lvl>
  </w:abstractNum>
  <w:abstractNum w:abstractNumId="42">
    <w:multiLevelType w:val="hybridMultilevel"/>
    <w:lvl w:ilvl="0">
      <w:start w:val="1"/>
      <w:numFmt w:val="decimal"/>
      <w:lvlText w:val="%1"/>
      <w:lvlJc w:val="left"/>
      <w:pPr>
        <w:ind w:left="415"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912" w:hanging="227"/>
      </w:pPr>
      <w:rPr>
        <w:rFonts w:hint="default"/>
      </w:rPr>
    </w:lvl>
    <w:lvl w:ilvl="2">
      <w:start w:val="0"/>
      <w:numFmt w:val="bullet"/>
      <w:lvlText w:val="•"/>
      <w:lvlJc w:val="left"/>
      <w:pPr>
        <w:ind w:left="1404" w:hanging="227"/>
      </w:pPr>
      <w:rPr>
        <w:rFonts w:hint="default"/>
      </w:rPr>
    </w:lvl>
    <w:lvl w:ilvl="3">
      <w:start w:val="0"/>
      <w:numFmt w:val="bullet"/>
      <w:lvlText w:val="•"/>
      <w:lvlJc w:val="left"/>
      <w:pPr>
        <w:ind w:left="1896" w:hanging="227"/>
      </w:pPr>
      <w:rPr>
        <w:rFonts w:hint="default"/>
      </w:rPr>
    </w:lvl>
    <w:lvl w:ilvl="4">
      <w:start w:val="0"/>
      <w:numFmt w:val="bullet"/>
      <w:lvlText w:val="•"/>
      <w:lvlJc w:val="left"/>
      <w:pPr>
        <w:ind w:left="2388" w:hanging="227"/>
      </w:pPr>
      <w:rPr>
        <w:rFonts w:hint="default"/>
      </w:rPr>
    </w:lvl>
    <w:lvl w:ilvl="5">
      <w:start w:val="0"/>
      <w:numFmt w:val="bullet"/>
      <w:lvlText w:val="•"/>
      <w:lvlJc w:val="left"/>
      <w:pPr>
        <w:ind w:left="2880" w:hanging="227"/>
      </w:pPr>
      <w:rPr>
        <w:rFonts w:hint="default"/>
      </w:rPr>
    </w:lvl>
    <w:lvl w:ilvl="6">
      <w:start w:val="0"/>
      <w:numFmt w:val="bullet"/>
      <w:lvlText w:val="•"/>
      <w:lvlJc w:val="left"/>
      <w:pPr>
        <w:ind w:left="3372" w:hanging="227"/>
      </w:pPr>
      <w:rPr>
        <w:rFonts w:hint="default"/>
      </w:rPr>
    </w:lvl>
    <w:lvl w:ilvl="7">
      <w:start w:val="0"/>
      <w:numFmt w:val="bullet"/>
      <w:lvlText w:val="•"/>
      <w:lvlJc w:val="left"/>
      <w:pPr>
        <w:ind w:left="3864" w:hanging="227"/>
      </w:pPr>
      <w:rPr>
        <w:rFonts w:hint="default"/>
      </w:rPr>
    </w:lvl>
    <w:lvl w:ilvl="8">
      <w:start w:val="0"/>
      <w:numFmt w:val="bullet"/>
      <w:lvlText w:val="•"/>
      <w:lvlJc w:val="left"/>
      <w:pPr>
        <w:ind w:left="4357" w:hanging="227"/>
      </w:pPr>
      <w:rPr>
        <w:rFonts w:hint="default"/>
      </w:rPr>
    </w:lvl>
  </w:abstractNum>
  <w:abstractNum w:abstractNumId="41">
    <w:multiLevelType w:val="hybridMultilevel"/>
    <w:lvl w:ilvl="0">
      <w:start w:val="1"/>
      <w:numFmt w:val="decimal"/>
      <w:lvlText w:val="%1"/>
      <w:lvlJc w:val="left"/>
      <w:pPr>
        <w:ind w:left="787" w:hanging="227"/>
        <w:jc w:val="right"/>
      </w:pPr>
      <w:rPr>
        <w:rFonts w:hint="default" w:ascii="Trebuchet MS" w:hAnsi="Trebuchet MS" w:eastAsia="Trebuchet MS" w:cs="Trebuchet MS"/>
        <w:color w:val="231F20"/>
        <w:w w:val="109"/>
        <w:sz w:val="18"/>
        <w:szCs w:val="18"/>
      </w:rPr>
    </w:lvl>
    <w:lvl w:ilvl="1">
      <w:start w:val="0"/>
      <w:numFmt w:val="bullet"/>
      <w:lvlText w:val="•"/>
      <w:lvlJc w:val="left"/>
      <w:pPr>
        <w:ind w:left="1262" w:hanging="227"/>
      </w:pPr>
      <w:rPr>
        <w:rFonts w:hint="default"/>
      </w:rPr>
    </w:lvl>
    <w:lvl w:ilvl="2">
      <w:start w:val="0"/>
      <w:numFmt w:val="bullet"/>
      <w:lvlText w:val="•"/>
      <w:lvlJc w:val="left"/>
      <w:pPr>
        <w:ind w:left="1744" w:hanging="227"/>
      </w:pPr>
      <w:rPr>
        <w:rFonts w:hint="default"/>
      </w:rPr>
    </w:lvl>
    <w:lvl w:ilvl="3">
      <w:start w:val="0"/>
      <w:numFmt w:val="bullet"/>
      <w:lvlText w:val="•"/>
      <w:lvlJc w:val="left"/>
      <w:pPr>
        <w:ind w:left="2227" w:hanging="227"/>
      </w:pPr>
      <w:rPr>
        <w:rFonts w:hint="default"/>
      </w:rPr>
    </w:lvl>
    <w:lvl w:ilvl="4">
      <w:start w:val="0"/>
      <w:numFmt w:val="bullet"/>
      <w:lvlText w:val="•"/>
      <w:lvlJc w:val="left"/>
      <w:pPr>
        <w:ind w:left="2709" w:hanging="227"/>
      </w:pPr>
      <w:rPr>
        <w:rFonts w:hint="default"/>
      </w:rPr>
    </w:lvl>
    <w:lvl w:ilvl="5">
      <w:start w:val="0"/>
      <w:numFmt w:val="bullet"/>
      <w:lvlText w:val="•"/>
      <w:lvlJc w:val="left"/>
      <w:pPr>
        <w:ind w:left="3192" w:hanging="227"/>
      </w:pPr>
      <w:rPr>
        <w:rFonts w:hint="default"/>
      </w:rPr>
    </w:lvl>
    <w:lvl w:ilvl="6">
      <w:start w:val="0"/>
      <w:numFmt w:val="bullet"/>
      <w:lvlText w:val="•"/>
      <w:lvlJc w:val="left"/>
      <w:pPr>
        <w:ind w:left="3674" w:hanging="227"/>
      </w:pPr>
      <w:rPr>
        <w:rFonts w:hint="default"/>
      </w:rPr>
    </w:lvl>
    <w:lvl w:ilvl="7">
      <w:start w:val="0"/>
      <w:numFmt w:val="bullet"/>
      <w:lvlText w:val="•"/>
      <w:lvlJc w:val="left"/>
      <w:pPr>
        <w:ind w:left="4156" w:hanging="227"/>
      </w:pPr>
      <w:rPr>
        <w:rFonts w:hint="default"/>
      </w:rPr>
    </w:lvl>
    <w:lvl w:ilvl="8">
      <w:start w:val="0"/>
      <w:numFmt w:val="bullet"/>
      <w:lvlText w:val="•"/>
      <w:lvlJc w:val="left"/>
      <w:pPr>
        <w:ind w:left="4639" w:hanging="227"/>
      </w:pPr>
      <w:rPr>
        <w:rFonts w:hint="default"/>
      </w:rPr>
    </w:lvl>
  </w:abstractNum>
  <w:abstractNum w:abstractNumId="40">
    <w:multiLevelType w:val="hybridMultilevel"/>
    <w:lvl w:ilvl="0">
      <w:start w:val="1"/>
      <w:numFmt w:val="lowerLetter"/>
      <w:lvlText w:val="%1)"/>
      <w:lvlJc w:val="left"/>
      <w:pPr>
        <w:ind w:left="787" w:hanging="227"/>
        <w:jc w:val="left"/>
      </w:pPr>
      <w:rPr>
        <w:rFonts w:hint="default" w:ascii="Trebuchet MS" w:hAnsi="Trebuchet MS" w:eastAsia="Trebuchet MS" w:cs="Trebuchet MS"/>
        <w:color w:val="231F20"/>
        <w:spacing w:val="-5"/>
        <w:w w:val="93"/>
        <w:sz w:val="18"/>
        <w:szCs w:val="18"/>
      </w:rPr>
    </w:lvl>
    <w:lvl w:ilvl="1">
      <w:start w:val="0"/>
      <w:numFmt w:val="bullet"/>
      <w:lvlText w:val="•"/>
      <w:lvlJc w:val="left"/>
      <w:pPr>
        <w:ind w:left="1262" w:hanging="227"/>
      </w:pPr>
      <w:rPr>
        <w:rFonts w:hint="default"/>
      </w:rPr>
    </w:lvl>
    <w:lvl w:ilvl="2">
      <w:start w:val="0"/>
      <w:numFmt w:val="bullet"/>
      <w:lvlText w:val="•"/>
      <w:lvlJc w:val="left"/>
      <w:pPr>
        <w:ind w:left="1744" w:hanging="227"/>
      </w:pPr>
      <w:rPr>
        <w:rFonts w:hint="default"/>
      </w:rPr>
    </w:lvl>
    <w:lvl w:ilvl="3">
      <w:start w:val="0"/>
      <w:numFmt w:val="bullet"/>
      <w:lvlText w:val="•"/>
      <w:lvlJc w:val="left"/>
      <w:pPr>
        <w:ind w:left="2227" w:hanging="227"/>
      </w:pPr>
      <w:rPr>
        <w:rFonts w:hint="default"/>
      </w:rPr>
    </w:lvl>
    <w:lvl w:ilvl="4">
      <w:start w:val="0"/>
      <w:numFmt w:val="bullet"/>
      <w:lvlText w:val="•"/>
      <w:lvlJc w:val="left"/>
      <w:pPr>
        <w:ind w:left="2709" w:hanging="227"/>
      </w:pPr>
      <w:rPr>
        <w:rFonts w:hint="default"/>
      </w:rPr>
    </w:lvl>
    <w:lvl w:ilvl="5">
      <w:start w:val="0"/>
      <w:numFmt w:val="bullet"/>
      <w:lvlText w:val="•"/>
      <w:lvlJc w:val="left"/>
      <w:pPr>
        <w:ind w:left="3192" w:hanging="227"/>
      </w:pPr>
      <w:rPr>
        <w:rFonts w:hint="default"/>
      </w:rPr>
    </w:lvl>
    <w:lvl w:ilvl="6">
      <w:start w:val="0"/>
      <w:numFmt w:val="bullet"/>
      <w:lvlText w:val="•"/>
      <w:lvlJc w:val="left"/>
      <w:pPr>
        <w:ind w:left="3674" w:hanging="227"/>
      </w:pPr>
      <w:rPr>
        <w:rFonts w:hint="default"/>
      </w:rPr>
    </w:lvl>
    <w:lvl w:ilvl="7">
      <w:start w:val="0"/>
      <w:numFmt w:val="bullet"/>
      <w:lvlText w:val="•"/>
      <w:lvlJc w:val="left"/>
      <w:pPr>
        <w:ind w:left="4156" w:hanging="227"/>
      </w:pPr>
      <w:rPr>
        <w:rFonts w:hint="default"/>
      </w:rPr>
    </w:lvl>
    <w:lvl w:ilvl="8">
      <w:start w:val="0"/>
      <w:numFmt w:val="bullet"/>
      <w:lvlText w:val="•"/>
      <w:lvlJc w:val="left"/>
      <w:pPr>
        <w:ind w:left="4639" w:hanging="227"/>
      </w:pPr>
      <w:rPr>
        <w:rFonts w:hint="default"/>
      </w:rPr>
    </w:lvl>
  </w:abstractNum>
  <w:abstractNum w:abstractNumId="39">
    <w:multiLevelType w:val="hybridMultilevel"/>
    <w:lvl w:ilvl="0">
      <w:start w:val="1"/>
      <w:numFmt w:val="decimal"/>
      <w:lvlText w:val="%1"/>
      <w:lvlJc w:val="left"/>
      <w:pPr>
        <w:ind w:left="333" w:hanging="227"/>
        <w:jc w:val="right"/>
      </w:pPr>
      <w:rPr>
        <w:rFonts w:hint="default" w:ascii="Trebuchet MS" w:hAnsi="Trebuchet MS" w:eastAsia="Trebuchet MS" w:cs="Trebuchet MS"/>
        <w:color w:val="231F20"/>
        <w:w w:val="109"/>
        <w:sz w:val="18"/>
        <w:szCs w:val="18"/>
      </w:rPr>
    </w:lvl>
    <w:lvl w:ilvl="1">
      <w:start w:val="0"/>
      <w:numFmt w:val="bullet"/>
      <w:lvlText w:val="•"/>
      <w:lvlJc w:val="left"/>
      <w:pPr>
        <w:ind w:left="877" w:hanging="227"/>
      </w:pPr>
      <w:rPr>
        <w:rFonts w:hint="default"/>
      </w:rPr>
    </w:lvl>
    <w:lvl w:ilvl="2">
      <w:start w:val="0"/>
      <w:numFmt w:val="bullet"/>
      <w:lvlText w:val="•"/>
      <w:lvlJc w:val="left"/>
      <w:pPr>
        <w:ind w:left="1414" w:hanging="227"/>
      </w:pPr>
      <w:rPr>
        <w:rFonts w:hint="default"/>
      </w:rPr>
    </w:lvl>
    <w:lvl w:ilvl="3">
      <w:start w:val="0"/>
      <w:numFmt w:val="bullet"/>
      <w:lvlText w:val="•"/>
      <w:lvlJc w:val="left"/>
      <w:pPr>
        <w:ind w:left="1951" w:hanging="227"/>
      </w:pPr>
      <w:rPr>
        <w:rFonts w:hint="default"/>
      </w:rPr>
    </w:lvl>
    <w:lvl w:ilvl="4">
      <w:start w:val="0"/>
      <w:numFmt w:val="bullet"/>
      <w:lvlText w:val="•"/>
      <w:lvlJc w:val="left"/>
      <w:pPr>
        <w:ind w:left="2489" w:hanging="227"/>
      </w:pPr>
      <w:rPr>
        <w:rFonts w:hint="default"/>
      </w:rPr>
    </w:lvl>
    <w:lvl w:ilvl="5">
      <w:start w:val="0"/>
      <w:numFmt w:val="bullet"/>
      <w:lvlText w:val="•"/>
      <w:lvlJc w:val="left"/>
      <w:pPr>
        <w:ind w:left="3026" w:hanging="227"/>
      </w:pPr>
      <w:rPr>
        <w:rFonts w:hint="default"/>
      </w:rPr>
    </w:lvl>
    <w:lvl w:ilvl="6">
      <w:start w:val="0"/>
      <w:numFmt w:val="bullet"/>
      <w:lvlText w:val="•"/>
      <w:lvlJc w:val="left"/>
      <w:pPr>
        <w:ind w:left="3563" w:hanging="227"/>
      </w:pPr>
      <w:rPr>
        <w:rFonts w:hint="default"/>
      </w:rPr>
    </w:lvl>
    <w:lvl w:ilvl="7">
      <w:start w:val="0"/>
      <w:numFmt w:val="bullet"/>
      <w:lvlText w:val="•"/>
      <w:lvlJc w:val="left"/>
      <w:pPr>
        <w:ind w:left="4101" w:hanging="227"/>
      </w:pPr>
      <w:rPr>
        <w:rFonts w:hint="default"/>
      </w:rPr>
    </w:lvl>
    <w:lvl w:ilvl="8">
      <w:start w:val="0"/>
      <w:numFmt w:val="bullet"/>
      <w:lvlText w:val="•"/>
      <w:lvlJc w:val="left"/>
      <w:pPr>
        <w:ind w:left="4638" w:hanging="227"/>
      </w:pPr>
      <w:rPr>
        <w:rFonts w:hint="default"/>
      </w:rPr>
    </w:lvl>
  </w:abstractNum>
  <w:abstractNum w:abstractNumId="38">
    <w:multiLevelType w:val="hybridMultilevel"/>
    <w:lvl w:ilvl="0">
      <w:start w:val="1"/>
      <w:numFmt w:val="decimal"/>
      <w:lvlText w:val="%1"/>
      <w:lvlJc w:val="left"/>
      <w:pPr>
        <w:ind w:left="333"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877" w:hanging="227"/>
      </w:pPr>
      <w:rPr>
        <w:rFonts w:hint="default"/>
      </w:rPr>
    </w:lvl>
    <w:lvl w:ilvl="2">
      <w:start w:val="0"/>
      <w:numFmt w:val="bullet"/>
      <w:lvlText w:val="•"/>
      <w:lvlJc w:val="left"/>
      <w:pPr>
        <w:ind w:left="1414" w:hanging="227"/>
      </w:pPr>
      <w:rPr>
        <w:rFonts w:hint="default"/>
      </w:rPr>
    </w:lvl>
    <w:lvl w:ilvl="3">
      <w:start w:val="0"/>
      <w:numFmt w:val="bullet"/>
      <w:lvlText w:val="•"/>
      <w:lvlJc w:val="left"/>
      <w:pPr>
        <w:ind w:left="1951" w:hanging="227"/>
      </w:pPr>
      <w:rPr>
        <w:rFonts w:hint="default"/>
      </w:rPr>
    </w:lvl>
    <w:lvl w:ilvl="4">
      <w:start w:val="0"/>
      <w:numFmt w:val="bullet"/>
      <w:lvlText w:val="•"/>
      <w:lvlJc w:val="left"/>
      <w:pPr>
        <w:ind w:left="2489" w:hanging="227"/>
      </w:pPr>
      <w:rPr>
        <w:rFonts w:hint="default"/>
      </w:rPr>
    </w:lvl>
    <w:lvl w:ilvl="5">
      <w:start w:val="0"/>
      <w:numFmt w:val="bullet"/>
      <w:lvlText w:val="•"/>
      <w:lvlJc w:val="left"/>
      <w:pPr>
        <w:ind w:left="3026" w:hanging="227"/>
      </w:pPr>
      <w:rPr>
        <w:rFonts w:hint="default"/>
      </w:rPr>
    </w:lvl>
    <w:lvl w:ilvl="6">
      <w:start w:val="0"/>
      <w:numFmt w:val="bullet"/>
      <w:lvlText w:val="•"/>
      <w:lvlJc w:val="left"/>
      <w:pPr>
        <w:ind w:left="3563" w:hanging="227"/>
      </w:pPr>
      <w:rPr>
        <w:rFonts w:hint="default"/>
      </w:rPr>
    </w:lvl>
    <w:lvl w:ilvl="7">
      <w:start w:val="0"/>
      <w:numFmt w:val="bullet"/>
      <w:lvlText w:val="•"/>
      <w:lvlJc w:val="left"/>
      <w:pPr>
        <w:ind w:left="4101" w:hanging="227"/>
      </w:pPr>
      <w:rPr>
        <w:rFonts w:hint="default"/>
      </w:rPr>
    </w:lvl>
    <w:lvl w:ilvl="8">
      <w:start w:val="0"/>
      <w:numFmt w:val="bullet"/>
      <w:lvlText w:val="•"/>
      <w:lvlJc w:val="left"/>
      <w:pPr>
        <w:ind w:left="4638" w:hanging="227"/>
      </w:pPr>
      <w:rPr>
        <w:rFonts w:hint="default"/>
      </w:rPr>
    </w:lvl>
  </w:abstractNum>
  <w:abstractNum w:abstractNumId="37">
    <w:multiLevelType w:val="hybridMultilevel"/>
    <w:lvl w:ilvl="0">
      <w:start w:val="1"/>
      <w:numFmt w:val="decimal"/>
      <w:lvlText w:val="%1"/>
      <w:lvlJc w:val="left"/>
      <w:pPr>
        <w:ind w:left="333"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877" w:hanging="227"/>
      </w:pPr>
      <w:rPr>
        <w:rFonts w:hint="default"/>
      </w:rPr>
    </w:lvl>
    <w:lvl w:ilvl="2">
      <w:start w:val="0"/>
      <w:numFmt w:val="bullet"/>
      <w:lvlText w:val="•"/>
      <w:lvlJc w:val="left"/>
      <w:pPr>
        <w:ind w:left="1414" w:hanging="227"/>
      </w:pPr>
      <w:rPr>
        <w:rFonts w:hint="default"/>
      </w:rPr>
    </w:lvl>
    <w:lvl w:ilvl="3">
      <w:start w:val="0"/>
      <w:numFmt w:val="bullet"/>
      <w:lvlText w:val="•"/>
      <w:lvlJc w:val="left"/>
      <w:pPr>
        <w:ind w:left="1951" w:hanging="227"/>
      </w:pPr>
      <w:rPr>
        <w:rFonts w:hint="default"/>
      </w:rPr>
    </w:lvl>
    <w:lvl w:ilvl="4">
      <w:start w:val="0"/>
      <w:numFmt w:val="bullet"/>
      <w:lvlText w:val="•"/>
      <w:lvlJc w:val="left"/>
      <w:pPr>
        <w:ind w:left="2489" w:hanging="227"/>
      </w:pPr>
      <w:rPr>
        <w:rFonts w:hint="default"/>
      </w:rPr>
    </w:lvl>
    <w:lvl w:ilvl="5">
      <w:start w:val="0"/>
      <w:numFmt w:val="bullet"/>
      <w:lvlText w:val="•"/>
      <w:lvlJc w:val="left"/>
      <w:pPr>
        <w:ind w:left="3026" w:hanging="227"/>
      </w:pPr>
      <w:rPr>
        <w:rFonts w:hint="default"/>
      </w:rPr>
    </w:lvl>
    <w:lvl w:ilvl="6">
      <w:start w:val="0"/>
      <w:numFmt w:val="bullet"/>
      <w:lvlText w:val="•"/>
      <w:lvlJc w:val="left"/>
      <w:pPr>
        <w:ind w:left="3563" w:hanging="227"/>
      </w:pPr>
      <w:rPr>
        <w:rFonts w:hint="default"/>
      </w:rPr>
    </w:lvl>
    <w:lvl w:ilvl="7">
      <w:start w:val="0"/>
      <w:numFmt w:val="bullet"/>
      <w:lvlText w:val="•"/>
      <w:lvlJc w:val="left"/>
      <w:pPr>
        <w:ind w:left="4101" w:hanging="227"/>
      </w:pPr>
      <w:rPr>
        <w:rFonts w:hint="default"/>
      </w:rPr>
    </w:lvl>
    <w:lvl w:ilvl="8">
      <w:start w:val="0"/>
      <w:numFmt w:val="bullet"/>
      <w:lvlText w:val="•"/>
      <w:lvlJc w:val="left"/>
      <w:pPr>
        <w:ind w:left="4638" w:hanging="227"/>
      </w:pPr>
      <w:rPr>
        <w:rFonts w:hint="default"/>
      </w:rPr>
    </w:lvl>
  </w:abstractNum>
  <w:abstractNum w:abstractNumId="36">
    <w:multiLevelType w:val="hybridMultilevel"/>
    <w:lvl w:ilvl="0">
      <w:start w:val="1"/>
      <w:numFmt w:val="lowerLetter"/>
      <w:lvlText w:val="%1)"/>
      <w:lvlJc w:val="left"/>
      <w:pPr>
        <w:ind w:left="333" w:hanging="227"/>
        <w:jc w:val="left"/>
      </w:pPr>
      <w:rPr>
        <w:rFonts w:hint="default" w:ascii="Trebuchet MS" w:hAnsi="Trebuchet MS" w:eastAsia="Trebuchet MS" w:cs="Trebuchet MS"/>
        <w:color w:val="231F20"/>
        <w:spacing w:val="-5"/>
        <w:w w:val="93"/>
        <w:sz w:val="18"/>
        <w:szCs w:val="18"/>
      </w:rPr>
    </w:lvl>
    <w:lvl w:ilvl="1">
      <w:start w:val="0"/>
      <w:numFmt w:val="bullet"/>
      <w:lvlText w:val="•"/>
      <w:lvlJc w:val="left"/>
      <w:pPr>
        <w:ind w:left="825" w:hanging="227"/>
      </w:pPr>
      <w:rPr>
        <w:rFonts w:hint="default"/>
      </w:rPr>
    </w:lvl>
    <w:lvl w:ilvl="2">
      <w:start w:val="0"/>
      <w:numFmt w:val="bullet"/>
      <w:lvlText w:val="•"/>
      <w:lvlJc w:val="left"/>
      <w:pPr>
        <w:ind w:left="1310" w:hanging="227"/>
      </w:pPr>
      <w:rPr>
        <w:rFonts w:hint="default"/>
      </w:rPr>
    </w:lvl>
    <w:lvl w:ilvl="3">
      <w:start w:val="0"/>
      <w:numFmt w:val="bullet"/>
      <w:lvlText w:val="•"/>
      <w:lvlJc w:val="left"/>
      <w:pPr>
        <w:ind w:left="1795" w:hanging="227"/>
      </w:pPr>
      <w:rPr>
        <w:rFonts w:hint="default"/>
      </w:rPr>
    </w:lvl>
    <w:lvl w:ilvl="4">
      <w:start w:val="0"/>
      <w:numFmt w:val="bullet"/>
      <w:lvlText w:val="•"/>
      <w:lvlJc w:val="left"/>
      <w:pPr>
        <w:ind w:left="2281" w:hanging="227"/>
      </w:pPr>
      <w:rPr>
        <w:rFonts w:hint="default"/>
      </w:rPr>
    </w:lvl>
    <w:lvl w:ilvl="5">
      <w:start w:val="0"/>
      <w:numFmt w:val="bullet"/>
      <w:lvlText w:val="•"/>
      <w:lvlJc w:val="left"/>
      <w:pPr>
        <w:ind w:left="2766" w:hanging="227"/>
      </w:pPr>
      <w:rPr>
        <w:rFonts w:hint="default"/>
      </w:rPr>
    </w:lvl>
    <w:lvl w:ilvl="6">
      <w:start w:val="0"/>
      <w:numFmt w:val="bullet"/>
      <w:lvlText w:val="•"/>
      <w:lvlJc w:val="left"/>
      <w:pPr>
        <w:ind w:left="3251" w:hanging="227"/>
      </w:pPr>
      <w:rPr>
        <w:rFonts w:hint="default"/>
      </w:rPr>
    </w:lvl>
    <w:lvl w:ilvl="7">
      <w:start w:val="0"/>
      <w:numFmt w:val="bullet"/>
      <w:lvlText w:val="•"/>
      <w:lvlJc w:val="left"/>
      <w:pPr>
        <w:ind w:left="3736" w:hanging="227"/>
      </w:pPr>
      <w:rPr>
        <w:rFonts w:hint="default"/>
      </w:rPr>
    </w:lvl>
    <w:lvl w:ilvl="8">
      <w:start w:val="0"/>
      <w:numFmt w:val="bullet"/>
      <w:lvlText w:val="•"/>
      <w:lvlJc w:val="left"/>
      <w:pPr>
        <w:ind w:left="4222" w:hanging="227"/>
      </w:pPr>
      <w:rPr>
        <w:rFonts w:hint="default"/>
      </w:rPr>
    </w:lvl>
  </w:abstractNum>
  <w:abstractNum w:abstractNumId="35">
    <w:multiLevelType w:val="hybridMultilevel"/>
    <w:lvl w:ilvl="0">
      <w:start w:val="1"/>
      <w:numFmt w:val="decimal"/>
      <w:lvlText w:val="%1"/>
      <w:lvlJc w:val="left"/>
      <w:pPr>
        <w:ind w:left="333"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825" w:hanging="227"/>
      </w:pPr>
      <w:rPr>
        <w:rFonts w:hint="default"/>
      </w:rPr>
    </w:lvl>
    <w:lvl w:ilvl="2">
      <w:start w:val="0"/>
      <w:numFmt w:val="bullet"/>
      <w:lvlText w:val="•"/>
      <w:lvlJc w:val="left"/>
      <w:pPr>
        <w:ind w:left="1310" w:hanging="227"/>
      </w:pPr>
      <w:rPr>
        <w:rFonts w:hint="default"/>
      </w:rPr>
    </w:lvl>
    <w:lvl w:ilvl="3">
      <w:start w:val="0"/>
      <w:numFmt w:val="bullet"/>
      <w:lvlText w:val="•"/>
      <w:lvlJc w:val="left"/>
      <w:pPr>
        <w:ind w:left="1795" w:hanging="227"/>
      </w:pPr>
      <w:rPr>
        <w:rFonts w:hint="default"/>
      </w:rPr>
    </w:lvl>
    <w:lvl w:ilvl="4">
      <w:start w:val="0"/>
      <w:numFmt w:val="bullet"/>
      <w:lvlText w:val="•"/>
      <w:lvlJc w:val="left"/>
      <w:pPr>
        <w:ind w:left="2281" w:hanging="227"/>
      </w:pPr>
      <w:rPr>
        <w:rFonts w:hint="default"/>
      </w:rPr>
    </w:lvl>
    <w:lvl w:ilvl="5">
      <w:start w:val="0"/>
      <w:numFmt w:val="bullet"/>
      <w:lvlText w:val="•"/>
      <w:lvlJc w:val="left"/>
      <w:pPr>
        <w:ind w:left="2766" w:hanging="227"/>
      </w:pPr>
      <w:rPr>
        <w:rFonts w:hint="default"/>
      </w:rPr>
    </w:lvl>
    <w:lvl w:ilvl="6">
      <w:start w:val="0"/>
      <w:numFmt w:val="bullet"/>
      <w:lvlText w:val="•"/>
      <w:lvlJc w:val="left"/>
      <w:pPr>
        <w:ind w:left="3251" w:hanging="227"/>
      </w:pPr>
      <w:rPr>
        <w:rFonts w:hint="default"/>
      </w:rPr>
    </w:lvl>
    <w:lvl w:ilvl="7">
      <w:start w:val="0"/>
      <w:numFmt w:val="bullet"/>
      <w:lvlText w:val="•"/>
      <w:lvlJc w:val="left"/>
      <w:pPr>
        <w:ind w:left="3736" w:hanging="227"/>
      </w:pPr>
      <w:rPr>
        <w:rFonts w:hint="default"/>
      </w:rPr>
    </w:lvl>
    <w:lvl w:ilvl="8">
      <w:start w:val="0"/>
      <w:numFmt w:val="bullet"/>
      <w:lvlText w:val="•"/>
      <w:lvlJc w:val="left"/>
      <w:pPr>
        <w:ind w:left="4222" w:hanging="227"/>
      </w:pPr>
      <w:rPr>
        <w:rFonts w:hint="default"/>
      </w:rPr>
    </w:lvl>
  </w:abstractNum>
  <w:abstractNum w:abstractNumId="34">
    <w:multiLevelType w:val="hybridMultilevel"/>
    <w:lvl w:ilvl="0">
      <w:start w:val="1"/>
      <w:numFmt w:val="decimal"/>
      <w:lvlText w:val="%1"/>
      <w:lvlJc w:val="left"/>
      <w:pPr>
        <w:ind w:left="333"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825" w:hanging="227"/>
      </w:pPr>
      <w:rPr>
        <w:rFonts w:hint="default"/>
      </w:rPr>
    </w:lvl>
    <w:lvl w:ilvl="2">
      <w:start w:val="0"/>
      <w:numFmt w:val="bullet"/>
      <w:lvlText w:val="•"/>
      <w:lvlJc w:val="left"/>
      <w:pPr>
        <w:ind w:left="1310" w:hanging="227"/>
      </w:pPr>
      <w:rPr>
        <w:rFonts w:hint="default"/>
      </w:rPr>
    </w:lvl>
    <w:lvl w:ilvl="3">
      <w:start w:val="0"/>
      <w:numFmt w:val="bullet"/>
      <w:lvlText w:val="•"/>
      <w:lvlJc w:val="left"/>
      <w:pPr>
        <w:ind w:left="1795" w:hanging="227"/>
      </w:pPr>
      <w:rPr>
        <w:rFonts w:hint="default"/>
      </w:rPr>
    </w:lvl>
    <w:lvl w:ilvl="4">
      <w:start w:val="0"/>
      <w:numFmt w:val="bullet"/>
      <w:lvlText w:val="•"/>
      <w:lvlJc w:val="left"/>
      <w:pPr>
        <w:ind w:left="2281" w:hanging="227"/>
      </w:pPr>
      <w:rPr>
        <w:rFonts w:hint="default"/>
      </w:rPr>
    </w:lvl>
    <w:lvl w:ilvl="5">
      <w:start w:val="0"/>
      <w:numFmt w:val="bullet"/>
      <w:lvlText w:val="•"/>
      <w:lvlJc w:val="left"/>
      <w:pPr>
        <w:ind w:left="2766" w:hanging="227"/>
      </w:pPr>
      <w:rPr>
        <w:rFonts w:hint="default"/>
      </w:rPr>
    </w:lvl>
    <w:lvl w:ilvl="6">
      <w:start w:val="0"/>
      <w:numFmt w:val="bullet"/>
      <w:lvlText w:val="•"/>
      <w:lvlJc w:val="left"/>
      <w:pPr>
        <w:ind w:left="3251" w:hanging="227"/>
      </w:pPr>
      <w:rPr>
        <w:rFonts w:hint="default"/>
      </w:rPr>
    </w:lvl>
    <w:lvl w:ilvl="7">
      <w:start w:val="0"/>
      <w:numFmt w:val="bullet"/>
      <w:lvlText w:val="•"/>
      <w:lvlJc w:val="left"/>
      <w:pPr>
        <w:ind w:left="3736" w:hanging="227"/>
      </w:pPr>
      <w:rPr>
        <w:rFonts w:hint="default"/>
      </w:rPr>
    </w:lvl>
    <w:lvl w:ilvl="8">
      <w:start w:val="0"/>
      <w:numFmt w:val="bullet"/>
      <w:lvlText w:val="•"/>
      <w:lvlJc w:val="left"/>
      <w:pPr>
        <w:ind w:left="4222" w:hanging="227"/>
      </w:pPr>
      <w:rPr>
        <w:rFonts w:hint="default"/>
      </w:rPr>
    </w:lvl>
  </w:abstractNum>
  <w:abstractNum w:abstractNumId="33">
    <w:multiLevelType w:val="hybridMultilevel"/>
    <w:lvl w:ilvl="0">
      <w:start w:val="1"/>
      <w:numFmt w:val="lowerLetter"/>
      <w:lvlText w:val="%1)"/>
      <w:lvlJc w:val="left"/>
      <w:pPr>
        <w:ind w:left="432" w:hanging="227"/>
        <w:jc w:val="right"/>
      </w:pPr>
      <w:rPr>
        <w:rFonts w:hint="default" w:ascii="Trebuchet MS" w:hAnsi="Trebuchet MS" w:eastAsia="Trebuchet MS" w:cs="Trebuchet MS"/>
        <w:color w:val="231F20"/>
        <w:spacing w:val="-5"/>
        <w:w w:val="93"/>
        <w:sz w:val="18"/>
        <w:szCs w:val="18"/>
      </w:rPr>
    </w:lvl>
    <w:lvl w:ilvl="1">
      <w:start w:val="0"/>
      <w:numFmt w:val="bullet"/>
      <w:lvlText w:val="•"/>
      <w:lvlJc w:val="left"/>
      <w:pPr>
        <w:ind w:left="931" w:hanging="227"/>
      </w:pPr>
      <w:rPr>
        <w:rFonts w:hint="default"/>
      </w:rPr>
    </w:lvl>
    <w:lvl w:ilvl="2">
      <w:start w:val="0"/>
      <w:numFmt w:val="bullet"/>
      <w:lvlText w:val="•"/>
      <w:lvlJc w:val="left"/>
      <w:pPr>
        <w:ind w:left="1423" w:hanging="227"/>
      </w:pPr>
      <w:rPr>
        <w:rFonts w:hint="default"/>
      </w:rPr>
    </w:lvl>
    <w:lvl w:ilvl="3">
      <w:start w:val="0"/>
      <w:numFmt w:val="bullet"/>
      <w:lvlText w:val="•"/>
      <w:lvlJc w:val="left"/>
      <w:pPr>
        <w:ind w:left="1915" w:hanging="227"/>
      </w:pPr>
      <w:rPr>
        <w:rFonts w:hint="default"/>
      </w:rPr>
    </w:lvl>
    <w:lvl w:ilvl="4">
      <w:start w:val="0"/>
      <w:numFmt w:val="bullet"/>
      <w:lvlText w:val="•"/>
      <w:lvlJc w:val="left"/>
      <w:pPr>
        <w:ind w:left="2407" w:hanging="227"/>
      </w:pPr>
      <w:rPr>
        <w:rFonts w:hint="default"/>
      </w:rPr>
    </w:lvl>
    <w:lvl w:ilvl="5">
      <w:start w:val="0"/>
      <w:numFmt w:val="bullet"/>
      <w:lvlText w:val="•"/>
      <w:lvlJc w:val="left"/>
      <w:pPr>
        <w:ind w:left="2899" w:hanging="227"/>
      </w:pPr>
      <w:rPr>
        <w:rFonts w:hint="default"/>
      </w:rPr>
    </w:lvl>
    <w:lvl w:ilvl="6">
      <w:start w:val="0"/>
      <w:numFmt w:val="bullet"/>
      <w:lvlText w:val="•"/>
      <w:lvlJc w:val="left"/>
      <w:pPr>
        <w:ind w:left="3391" w:hanging="227"/>
      </w:pPr>
      <w:rPr>
        <w:rFonts w:hint="default"/>
      </w:rPr>
    </w:lvl>
    <w:lvl w:ilvl="7">
      <w:start w:val="0"/>
      <w:numFmt w:val="bullet"/>
      <w:lvlText w:val="•"/>
      <w:lvlJc w:val="left"/>
      <w:pPr>
        <w:ind w:left="3883" w:hanging="227"/>
      </w:pPr>
      <w:rPr>
        <w:rFonts w:hint="default"/>
      </w:rPr>
    </w:lvl>
    <w:lvl w:ilvl="8">
      <w:start w:val="0"/>
      <w:numFmt w:val="bullet"/>
      <w:lvlText w:val="•"/>
      <w:lvlJc w:val="left"/>
      <w:pPr>
        <w:ind w:left="4375" w:hanging="227"/>
      </w:pPr>
      <w:rPr>
        <w:rFonts w:hint="default"/>
      </w:rPr>
    </w:lvl>
  </w:abstractNum>
  <w:abstractNum w:abstractNumId="32">
    <w:multiLevelType w:val="hybridMultilevel"/>
    <w:lvl w:ilvl="0">
      <w:start w:val="1"/>
      <w:numFmt w:val="decimal"/>
      <w:lvlText w:val="%1"/>
      <w:lvlJc w:val="left"/>
      <w:pPr>
        <w:ind w:left="432"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931" w:hanging="227"/>
      </w:pPr>
      <w:rPr>
        <w:rFonts w:hint="default"/>
      </w:rPr>
    </w:lvl>
    <w:lvl w:ilvl="2">
      <w:start w:val="0"/>
      <w:numFmt w:val="bullet"/>
      <w:lvlText w:val="•"/>
      <w:lvlJc w:val="left"/>
      <w:pPr>
        <w:ind w:left="1423" w:hanging="227"/>
      </w:pPr>
      <w:rPr>
        <w:rFonts w:hint="default"/>
      </w:rPr>
    </w:lvl>
    <w:lvl w:ilvl="3">
      <w:start w:val="0"/>
      <w:numFmt w:val="bullet"/>
      <w:lvlText w:val="•"/>
      <w:lvlJc w:val="left"/>
      <w:pPr>
        <w:ind w:left="1915" w:hanging="227"/>
      </w:pPr>
      <w:rPr>
        <w:rFonts w:hint="default"/>
      </w:rPr>
    </w:lvl>
    <w:lvl w:ilvl="4">
      <w:start w:val="0"/>
      <w:numFmt w:val="bullet"/>
      <w:lvlText w:val="•"/>
      <w:lvlJc w:val="left"/>
      <w:pPr>
        <w:ind w:left="2407" w:hanging="227"/>
      </w:pPr>
      <w:rPr>
        <w:rFonts w:hint="default"/>
      </w:rPr>
    </w:lvl>
    <w:lvl w:ilvl="5">
      <w:start w:val="0"/>
      <w:numFmt w:val="bullet"/>
      <w:lvlText w:val="•"/>
      <w:lvlJc w:val="left"/>
      <w:pPr>
        <w:ind w:left="2899" w:hanging="227"/>
      </w:pPr>
      <w:rPr>
        <w:rFonts w:hint="default"/>
      </w:rPr>
    </w:lvl>
    <w:lvl w:ilvl="6">
      <w:start w:val="0"/>
      <w:numFmt w:val="bullet"/>
      <w:lvlText w:val="•"/>
      <w:lvlJc w:val="left"/>
      <w:pPr>
        <w:ind w:left="3391" w:hanging="227"/>
      </w:pPr>
      <w:rPr>
        <w:rFonts w:hint="default"/>
      </w:rPr>
    </w:lvl>
    <w:lvl w:ilvl="7">
      <w:start w:val="0"/>
      <w:numFmt w:val="bullet"/>
      <w:lvlText w:val="•"/>
      <w:lvlJc w:val="left"/>
      <w:pPr>
        <w:ind w:left="3883" w:hanging="227"/>
      </w:pPr>
      <w:rPr>
        <w:rFonts w:hint="default"/>
      </w:rPr>
    </w:lvl>
    <w:lvl w:ilvl="8">
      <w:start w:val="0"/>
      <w:numFmt w:val="bullet"/>
      <w:lvlText w:val="•"/>
      <w:lvlJc w:val="left"/>
      <w:pPr>
        <w:ind w:left="4375" w:hanging="227"/>
      </w:pPr>
      <w:rPr>
        <w:rFonts w:hint="default"/>
      </w:rPr>
    </w:lvl>
  </w:abstractNum>
  <w:abstractNum w:abstractNumId="31">
    <w:multiLevelType w:val="hybridMultilevel"/>
    <w:lvl w:ilvl="0">
      <w:start w:val="1"/>
      <w:numFmt w:val="upperLetter"/>
      <w:lvlText w:val="%1."/>
      <w:lvlJc w:val="left"/>
      <w:pPr>
        <w:ind w:left="206" w:hanging="232"/>
        <w:jc w:val="right"/>
      </w:pPr>
      <w:rPr>
        <w:rFonts w:hint="default" w:ascii="Trebuchet MS" w:hAnsi="Trebuchet MS" w:eastAsia="Trebuchet MS" w:cs="Trebuchet MS"/>
        <w:color w:val="586670"/>
        <w:spacing w:val="0"/>
        <w:w w:val="78"/>
        <w:sz w:val="18"/>
        <w:szCs w:val="18"/>
      </w:rPr>
    </w:lvl>
    <w:lvl w:ilvl="1">
      <w:start w:val="0"/>
      <w:numFmt w:val="bullet"/>
      <w:lvlText w:val="•"/>
      <w:lvlJc w:val="left"/>
      <w:pPr>
        <w:ind w:left="715" w:hanging="232"/>
      </w:pPr>
      <w:rPr>
        <w:rFonts w:hint="default"/>
      </w:rPr>
    </w:lvl>
    <w:lvl w:ilvl="2">
      <w:start w:val="0"/>
      <w:numFmt w:val="bullet"/>
      <w:lvlText w:val="•"/>
      <w:lvlJc w:val="left"/>
      <w:pPr>
        <w:ind w:left="1231" w:hanging="232"/>
      </w:pPr>
      <w:rPr>
        <w:rFonts w:hint="default"/>
      </w:rPr>
    </w:lvl>
    <w:lvl w:ilvl="3">
      <w:start w:val="0"/>
      <w:numFmt w:val="bullet"/>
      <w:lvlText w:val="•"/>
      <w:lvlJc w:val="left"/>
      <w:pPr>
        <w:ind w:left="1747" w:hanging="232"/>
      </w:pPr>
      <w:rPr>
        <w:rFonts w:hint="default"/>
      </w:rPr>
    </w:lvl>
    <w:lvl w:ilvl="4">
      <w:start w:val="0"/>
      <w:numFmt w:val="bullet"/>
      <w:lvlText w:val="•"/>
      <w:lvlJc w:val="left"/>
      <w:pPr>
        <w:ind w:left="2263" w:hanging="232"/>
      </w:pPr>
      <w:rPr>
        <w:rFonts w:hint="default"/>
      </w:rPr>
    </w:lvl>
    <w:lvl w:ilvl="5">
      <w:start w:val="0"/>
      <w:numFmt w:val="bullet"/>
      <w:lvlText w:val="•"/>
      <w:lvlJc w:val="left"/>
      <w:pPr>
        <w:ind w:left="2779" w:hanging="232"/>
      </w:pPr>
      <w:rPr>
        <w:rFonts w:hint="default"/>
      </w:rPr>
    </w:lvl>
    <w:lvl w:ilvl="6">
      <w:start w:val="0"/>
      <w:numFmt w:val="bullet"/>
      <w:lvlText w:val="•"/>
      <w:lvlJc w:val="left"/>
      <w:pPr>
        <w:ind w:left="3295" w:hanging="232"/>
      </w:pPr>
      <w:rPr>
        <w:rFonts w:hint="default"/>
      </w:rPr>
    </w:lvl>
    <w:lvl w:ilvl="7">
      <w:start w:val="0"/>
      <w:numFmt w:val="bullet"/>
      <w:lvlText w:val="•"/>
      <w:lvlJc w:val="left"/>
      <w:pPr>
        <w:ind w:left="3811" w:hanging="232"/>
      </w:pPr>
      <w:rPr>
        <w:rFonts w:hint="default"/>
      </w:rPr>
    </w:lvl>
    <w:lvl w:ilvl="8">
      <w:start w:val="0"/>
      <w:numFmt w:val="bullet"/>
      <w:lvlText w:val="•"/>
      <w:lvlJc w:val="left"/>
      <w:pPr>
        <w:ind w:left="4327" w:hanging="232"/>
      </w:pPr>
      <w:rPr>
        <w:rFonts w:hint="default"/>
      </w:rPr>
    </w:lvl>
  </w:abstractNum>
  <w:abstractNum w:abstractNumId="30">
    <w:multiLevelType w:val="hybridMultilevel"/>
    <w:lvl w:ilvl="0">
      <w:start w:val="1"/>
      <w:numFmt w:val="decimal"/>
      <w:lvlText w:val="%1"/>
      <w:lvlJc w:val="left"/>
      <w:pPr>
        <w:ind w:left="787" w:hanging="227"/>
        <w:jc w:val="right"/>
      </w:pPr>
      <w:rPr>
        <w:rFonts w:hint="default" w:ascii="Trebuchet MS" w:hAnsi="Trebuchet MS" w:eastAsia="Trebuchet MS" w:cs="Trebuchet MS"/>
        <w:color w:val="231F20"/>
        <w:w w:val="109"/>
        <w:sz w:val="18"/>
        <w:szCs w:val="18"/>
      </w:rPr>
    </w:lvl>
    <w:lvl w:ilvl="1">
      <w:start w:val="0"/>
      <w:numFmt w:val="bullet"/>
      <w:lvlText w:val="•"/>
      <w:lvlJc w:val="left"/>
      <w:pPr>
        <w:ind w:left="1260" w:hanging="227"/>
      </w:pPr>
      <w:rPr>
        <w:rFonts w:hint="default"/>
      </w:rPr>
    </w:lvl>
    <w:lvl w:ilvl="2">
      <w:start w:val="0"/>
      <w:numFmt w:val="bullet"/>
      <w:lvlText w:val="•"/>
      <w:lvlJc w:val="left"/>
      <w:pPr>
        <w:ind w:left="1741" w:hanging="227"/>
      </w:pPr>
      <w:rPr>
        <w:rFonts w:hint="default"/>
      </w:rPr>
    </w:lvl>
    <w:lvl w:ilvl="3">
      <w:start w:val="0"/>
      <w:numFmt w:val="bullet"/>
      <w:lvlText w:val="•"/>
      <w:lvlJc w:val="left"/>
      <w:pPr>
        <w:ind w:left="2222" w:hanging="227"/>
      </w:pPr>
      <w:rPr>
        <w:rFonts w:hint="default"/>
      </w:rPr>
    </w:lvl>
    <w:lvl w:ilvl="4">
      <w:start w:val="0"/>
      <w:numFmt w:val="bullet"/>
      <w:lvlText w:val="•"/>
      <w:lvlJc w:val="left"/>
      <w:pPr>
        <w:ind w:left="2702" w:hanging="227"/>
      </w:pPr>
      <w:rPr>
        <w:rFonts w:hint="default"/>
      </w:rPr>
    </w:lvl>
    <w:lvl w:ilvl="5">
      <w:start w:val="0"/>
      <w:numFmt w:val="bullet"/>
      <w:lvlText w:val="•"/>
      <w:lvlJc w:val="left"/>
      <w:pPr>
        <w:ind w:left="3183" w:hanging="227"/>
      </w:pPr>
      <w:rPr>
        <w:rFonts w:hint="default"/>
      </w:rPr>
    </w:lvl>
    <w:lvl w:ilvl="6">
      <w:start w:val="0"/>
      <w:numFmt w:val="bullet"/>
      <w:lvlText w:val="•"/>
      <w:lvlJc w:val="left"/>
      <w:pPr>
        <w:ind w:left="3664" w:hanging="227"/>
      </w:pPr>
      <w:rPr>
        <w:rFonts w:hint="default"/>
      </w:rPr>
    </w:lvl>
    <w:lvl w:ilvl="7">
      <w:start w:val="0"/>
      <w:numFmt w:val="bullet"/>
      <w:lvlText w:val="•"/>
      <w:lvlJc w:val="left"/>
      <w:pPr>
        <w:ind w:left="4144" w:hanging="227"/>
      </w:pPr>
      <w:rPr>
        <w:rFonts w:hint="default"/>
      </w:rPr>
    </w:lvl>
    <w:lvl w:ilvl="8">
      <w:start w:val="0"/>
      <w:numFmt w:val="bullet"/>
      <w:lvlText w:val="•"/>
      <w:lvlJc w:val="left"/>
      <w:pPr>
        <w:ind w:left="4625" w:hanging="227"/>
      </w:pPr>
      <w:rPr>
        <w:rFonts w:hint="default"/>
      </w:rPr>
    </w:lvl>
  </w:abstractNum>
  <w:abstractNum w:abstractNumId="29">
    <w:multiLevelType w:val="hybridMultilevel"/>
    <w:lvl w:ilvl="0">
      <w:start w:val="1"/>
      <w:numFmt w:val="lowerLetter"/>
      <w:lvlText w:val="%1)"/>
      <w:lvlJc w:val="left"/>
      <w:pPr>
        <w:ind w:left="333" w:hanging="227"/>
        <w:jc w:val="left"/>
      </w:pPr>
      <w:rPr>
        <w:rFonts w:hint="default" w:ascii="Trebuchet MS" w:hAnsi="Trebuchet MS" w:eastAsia="Trebuchet MS" w:cs="Trebuchet MS"/>
        <w:color w:val="231F20"/>
        <w:spacing w:val="-5"/>
        <w:w w:val="93"/>
        <w:sz w:val="18"/>
        <w:szCs w:val="18"/>
      </w:rPr>
    </w:lvl>
    <w:lvl w:ilvl="1">
      <w:start w:val="1"/>
      <w:numFmt w:val="decimal"/>
      <w:lvlText w:val="%2"/>
      <w:lvlJc w:val="left"/>
      <w:pPr>
        <w:ind w:left="787" w:hanging="227"/>
        <w:jc w:val="left"/>
      </w:pPr>
      <w:rPr>
        <w:rFonts w:hint="default" w:ascii="Trebuchet MS" w:hAnsi="Trebuchet MS" w:eastAsia="Trebuchet MS" w:cs="Trebuchet MS"/>
        <w:color w:val="231F20"/>
        <w:w w:val="109"/>
        <w:sz w:val="18"/>
        <w:szCs w:val="18"/>
      </w:rPr>
    </w:lvl>
    <w:lvl w:ilvl="2">
      <w:start w:val="0"/>
      <w:numFmt w:val="bullet"/>
      <w:lvlText w:val="•"/>
      <w:lvlJc w:val="left"/>
      <w:pPr>
        <w:ind w:left="728" w:hanging="227"/>
      </w:pPr>
      <w:rPr>
        <w:rFonts w:hint="default"/>
      </w:rPr>
    </w:lvl>
    <w:lvl w:ilvl="3">
      <w:start w:val="0"/>
      <w:numFmt w:val="bullet"/>
      <w:lvlText w:val="•"/>
      <w:lvlJc w:val="left"/>
      <w:pPr>
        <w:ind w:left="676" w:hanging="227"/>
      </w:pPr>
      <w:rPr>
        <w:rFonts w:hint="default"/>
      </w:rPr>
    </w:lvl>
    <w:lvl w:ilvl="4">
      <w:start w:val="0"/>
      <w:numFmt w:val="bullet"/>
      <w:lvlText w:val="•"/>
      <w:lvlJc w:val="left"/>
      <w:pPr>
        <w:ind w:left="624" w:hanging="227"/>
      </w:pPr>
      <w:rPr>
        <w:rFonts w:hint="default"/>
      </w:rPr>
    </w:lvl>
    <w:lvl w:ilvl="5">
      <w:start w:val="0"/>
      <w:numFmt w:val="bullet"/>
      <w:lvlText w:val="•"/>
      <w:lvlJc w:val="left"/>
      <w:pPr>
        <w:ind w:left="573" w:hanging="227"/>
      </w:pPr>
      <w:rPr>
        <w:rFonts w:hint="default"/>
      </w:rPr>
    </w:lvl>
    <w:lvl w:ilvl="6">
      <w:start w:val="0"/>
      <w:numFmt w:val="bullet"/>
      <w:lvlText w:val="•"/>
      <w:lvlJc w:val="left"/>
      <w:pPr>
        <w:ind w:left="521" w:hanging="227"/>
      </w:pPr>
      <w:rPr>
        <w:rFonts w:hint="default"/>
      </w:rPr>
    </w:lvl>
    <w:lvl w:ilvl="7">
      <w:start w:val="0"/>
      <w:numFmt w:val="bullet"/>
      <w:lvlText w:val="•"/>
      <w:lvlJc w:val="left"/>
      <w:pPr>
        <w:ind w:left="469" w:hanging="227"/>
      </w:pPr>
      <w:rPr>
        <w:rFonts w:hint="default"/>
      </w:rPr>
    </w:lvl>
    <w:lvl w:ilvl="8">
      <w:start w:val="0"/>
      <w:numFmt w:val="bullet"/>
      <w:lvlText w:val="•"/>
      <w:lvlJc w:val="left"/>
      <w:pPr>
        <w:ind w:left="417" w:hanging="227"/>
      </w:pPr>
      <w:rPr>
        <w:rFonts w:hint="default"/>
      </w:rPr>
    </w:lvl>
  </w:abstractNum>
  <w:abstractNum w:abstractNumId="28">
    <w:multiLevelType w:val="hybridMultilevel"/>
    <w:lvl w:ilvl="0">
      <w:start w:val="1"/>
      <w:numFmt w:val="lowerLetter"/>
      <w:lvlText w:val="%1)"/>
      <w:lvlJc w:val="left"/>
      <w:pPr>
        <w:ind w:left="333" w:hanging="227"/>
        <w:jc w:val="left"/>
      </w:pPr>
      <w:rPr>
        <w:rFonts w:hint="default" w:ascii="Trebuchet MS" w:hAnsi="Trebuchet MS" w:eastAsia="Trebuchet MS" w:cs="Trebuchet MS"/>
        <w:color w:val="231F20"/>
        <w:spacing w:val="-5"/>
        <w:w w:val="93"/>
        <w:sz w:val="18"/>
        <w:szCs w:val="18"/>
      </w:rPr>
    </w:lvl>
    <w:lvl w:ilvl="1">
      <w:start w:val="0"/>
      <w:numFmt w:val="bullet"/>
      <w:lvlText w:val="•"/>
      <w:lvlJc w:val="left"/>
      <w:pPr>
        <w:ind w:left="877" w:hanging="227"/>
      </w:pPr>
      <w:rPr>
        <w:rFonts w:hint="default"/>
      </w:rPr>
    </w:lvl>
    <w:lvl w:ilvl="2">
      <w:start w:val="0"/>
      <w:numFmt w:val="bullet"/>
      <w:lvlText w:val="•"/>
      <w:lvlJc w:val="left"/>
      <w:pPr>
        <w:ind w:left="1414" w:hanging="227"/>
      </w:pPr>
      <w:rPr>
        <w:rFonts w:hint="default"/>
      </w:rPr>
    </w:lvl>
    <w:lvl w:ilvl="3">
      <w:start w:val="0"/>
      <w:numFmt w:val="bullet"/>
      <w:lvlText w:val="•"/>
      <w:lvlJc w:val="left"/>
      <w:pPr>
        <w:ind w:left="1951" w:hanging="227"/>
      </w:pPr>
      <w:rPr>
        <w:rFonts w:hint="default"/>
      </w:rPr>
    </w:lvl>
    <w:lvl w:ilvl="4">
      <w:start w:val="0"/>
      <w:numFmt w:val="bullet"/>
      <w:lvlText w:val="•"/>
      <w:lvlJc w:val="left"/>
      <w:pPr>
        <w:ind w:left="2489" w:hanging="227"/>
      </w:pPr>
      <w:rPr>
        <w:rFonts w:hint="default"/>
      </w:rPr>
    </w:lvl>
    <w:lvl w:ilvl="5">
      <w:start w:val="0"/>
      <w:numFmt w:val="bullet"/>
      <w:lvlText w:val="•"/>
      <w:lvlJc w:val="left"/>
      <w:pPr>
        <w:ind w:left="3026" w:hanging="227"/>
      </w:pPr>
      <w:rPr>
        <w:rFonts w:hint="default"/>
      </w:rPr>
    </w:lvl>
    <w:lvl w:ilvl="6">
      <w:start w:val="0"/>
      <w:numFmt w:val="bullet"/>
      <w:lvlText w:val="•"/>
      <w:lvlJc w:val="left"/>
      <w:pPr>
        <w:ind w:left="3563" w:hanging="227"/>
      </w:pPr>
      <w:rPr>
        <w:rFonts w:hint="default"/>
      </w:rPr>
    </w:lvl>
    <w:lvl w:ilvl="7">
      <w:start w:val="0"/>
      <w:numFmt w:val="bullet"/>
      <w:lvlText w:val="•"/>
      <w:lvlJc w:val="left"/>
      <w:pPr>
        <w:ind w:left="4101" w:hanging="227"/>
      </w:pPr>
      <w:rPr>
        <w:rFonts w:hint="default"/>
      </w:rPr>
    </w:lvl>
    <w:lvl w:ilvl="8">
      <w:start w:val="0"/>
      <w:numFmt w:val="bullet"/>
      <w:lvlText w:val="•"/>
      <w:lvlJc w:val="left"/>
      <w:pPr>
        <w:ind w:left="4638" w:hanging="227"/>
      </w:pPr>
      <w:rPr>
        <w:rFonts w:hint="default"/>
      </w:rPr>
    </w:lvl>
  </w:abstractNum>
  <w:abstractNum w:abstractNumId="27">
    <w:multiLevelType w:val="hybridMultilevel"/>
    <w:lvl w:ilvl="0">
      <w:start w:val="1"/>
      <w:numFmt w:val="decimal"/>
      <w:lvlText w:val="%1"/>
      <w:lvlJc w:val="left"/>
      <w:pPr>
        <w:ind w:left="333"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298" w:hanging="227"/>
      </w:pPr>
      <w:rPr>
        <w:rFonts w:hint="default"/>
      </w:rPr>
    </w:lvl>
    <w:lvl w:ilvl="2">
      <w:start w:val="0"/>
      <w:numFmt w:val="bullet"/>
      <w:lvlText w:val="•"/>
      <w:lvlJc w:val="left"/>
      <w:pPr>
        <w:ind w:left="256" w:hanging="227"/>
      </w:pPr>
      <w:rPr>
        <w:rFonts w:hint="default"/>
      </w:rPr>
    </w:lvl>
    <w:lvl w:ilvl="3">
      <w:start w:val="0"/>
      <w:numFmt w:val="bullet"/>
      <w:lvlText w:val="•"/>
      <w:lvlJc w:val="left"/>
      <w:pPr>
        <w:ind w:left="214" w:hanging="227"/>
      </w:pPr>
      <w:rPr>
        <w:rFonts w:hint="default"/>
      </w:rPr>
    </w:lvl>
    <w:lvl w:ilvl="4">
      <w:start w:val="0"/>
      <w:numFmt w:val="bullet"/>
      <w:lvlText w:val="•"/>
      <w:lvlJc w:val="left"/>
      <w:pPr>
        <w:ind w:left="172" w:hanging="227"/>
      </w:pPr>
      <w:rPr>
        <w:rFonts w:hint="default"/>
      </w:rPr>
    </w:lvl>
    <w:lvl w:ilvl="5">
      <w:start w:val="0"/>
      <w:numFmt w:val="bullet"/>
      <w:lvlText w:val="•"/>
      <w:lvlJc w:val="left"/>
      <w:pPr>
        <w:ind w:left="130" w:hanging="227"/>
      </w:pPr>
      <w:rPr>
        <w:rFonts w:hint="default"/>
      </w:rPr>
    </w:lvl>
    <w:lvl w:ilvl="6">
      <w:start w:val="0"/>
      <w:numFmt w:val="bullet"/>
      <w:lvlText w:val="•"/>
      <w:lvlJc w:val="left"/>
      <w:pPr>
        <w:ind w:left="88" w:hanging="227"/>
      </w:pPr>
      <w:rPr>
        <w:rFonts w:hint="default"/>
      </w:rPr>
    </w:lvl>
    <w:lvl w:ilvl="7">
      <w:start w:val="0"/>
      <w:numFmt w:val="bullet"/>
      <w:lvlText w:val="•"/>
      <w:lvlJc w:val="left"/>
      <w:pPr>
        <w:ind w:left="46" w:hanging="227"/>
      </w:pPr>
      <w:rPr>
        <w:rFonts w:hint="default"/>
      </w:rPr>
    </w:lvl>
    <w:lvl w:ilvl="8">
      <w:start w:val="0"/>
      <w:numFmt w:val="bullet"/>
      <w:lvlText w:val="•"/>
      <w:lvlJc w:val="left"/>
      <w:pPr>
        <w:ind w:left="4" w:hanging="227"/>
      </w:pPr>
      <w:rPr>
        <w:rFonts w:hint="default"/>
      </w:rPr>
    </w:lvl>
  </w:abstractNum>
  <w:abstractNum w:abstractNumId="26">
    <w:multiLevelType w:val="hybridMultilevel"/>
    <w:lvl w:ilvl="0">
      <w:start w:val="1"/>
      <w:numFmt w:val="decimal"/>
      <w:lvlText w:val="%1"/>
      <w:lvlJc w:val="left"/>
      <w:pPr>
        <w:ind w:left="333"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825" w:hanging="227"/>
      </w:pPr>
      <w:rPr>
        <w:rFonts w:hint="default"/>
      </w:rPr>
    </w:lvl>
    <w:lvl w:ilvl="2">
      <w:start w:val="0"/>
      <w:numFmt w:val="bullet"/>
      <w:lvlText w:val="•"/>
      <w:lvlJc w:val="left"/>
      <w:pPr>
        <w:ind w:left="1310" w:hanging="227"/>
      </w:pPr>
      <w:rPr>
        <w:rFonts w:hint="default"/>
      </w:rPr>
    </w:lvl>
    <w:lvl w:ilvl="3">
      <w:start w:val="0"/>
      <w:numFmt w:val="bullet"/>
      <w:lvlText w:val="•"/>
      <w:lvlJc w:val="left"/>
      <w:pPr>
        <w:ind w:left="1795" w:hanging="227"/>
      </w:pPr>
      <w:rPr>
        <w:rFonts w:hint="default"/>
      </w:rPr>
    </w:lvl>
    <w:lvl w:ilvl="4">
      <w:start w:val="0"/>
      <w:numFmt w:val="bullet"/>
      <w:lvlText w:val="•"/>
      <w:lvlJc w:val="left"/>
      <w:pPr>
        <w:ind w:left="2281" w:hanging="227"/>
      </w:pPr>
      <w:rPr>
        <w:rFonts w:hint="default"/>
      </w:rPr>
    </w:lvl>
    <w:lvl w:ilvl="5">
      <w:start w:val="0"/>
      <w:numFmt w:val="bullet"/>
      <w:lvlText w:val="•"/>
      <w:lvlJc w:val="left"/>
      <w:pPr>
        <w:ind w:left="2766" w:hanging="227"/>
      </w:pPr>
      <w:rPr>
        <w:rFonts w:hint="default"/>
      </w:rPr>
    </w:lvl>
    <w:lvl w:ilvl="6">
      <w:start w:val="0"/>
      <w:numFmt w:val="bullet"/>
      <w:lvlText w:val="•"/>
      <w:lvlJc w:val="left"/>
      <w:pPr>
        <w:ind w:left="3251" w:hanging="227"/>
      </w:pPr>
      <w:rPr>
        <w:rFonts w:hint="default"/>
      </w:rPr>
    </w:lvl>
    <w:lvl w:ilvl="7">
      <w:start w:val="0"/>
      <w:numFmt w:val="bullet"/>
      <w:lvlText w:val="•"/>
      <w:lvlJc w:val="left"/>
      <w:pPr>
        <w:ind w:left="3736" w:hanging="227"/>
      </w:pPr>
      <w:rPr>
        <w:rFonts w:hint="default"/>
      </w:rPr>
    </w:lvl>
    <w:lvl w:ilvl="8">
      <w:start w:val="0"/>
      <w:numFmt w:val="bullet"/>
      <w:lvlText w:val="•"/>
      <w:lvlJc w:val="left"/>
      <w:pPr>
        <w:ind w:left="4222" w:hanging="227"/>
      </w:pPr>
      <w:rPr>
        <w:rFonts w:hint="default"/>
      </w:rPr>
    </w:lvl>
  </w:abstractNum>
  <w:abstractNum w:abstractNumId="25">
    <w:multiLevelType w:val="hybridMultilevel"/>
    <w:lvl w:ilvl="0">
      <w:start w:val="1"/>
      <w:numFmt w:val="decimal"/>
      <w:lvlText w:val="%1"/>
      <w:lvlJc w:val="left"/>
      <w:pPr>
        <w:ind w:left="333" w:hanging="227"/>
        <w:jc w:val="left"/>
      </w:pPr>
      <w:rPr>
        <w:rFonts w:hint="default" w:ascii="Trebuchet MS" w:hAnsi="Trebuchet MS" w:eastAsia="Trebuchet MS" w:cs="Trebuchet MS"/>
        <w:color w:val="231F20"/>
        <w:w w:val="109"/>
        <w:sz w:val="18"/>
        <w:szCs w:val="18"/>
      </w:rPr>
    </w:lvl>
    <w:lvl w:ilvl="1">
      <w:start w:val="0"/>
      <w:numFmt w:val="bullet"/>
      <w:lvlText w:val="•"/>
      <w:lvlJc w:val="left"/>
      <w:pPr>
        <w:ind w:left="825" w:hanging="227"/>
      </w:pPr>
      <w:rPr>
        <w:rFonts w:hint="default"/>
      </w:rPr>
    </w:lvl>
    <w:lvl w:ilvl="2">
      <w:start w:val="0"/>
      <w:numFmt w:val="bullet"/>
      <w:lvlText w:val="•"/>
      <w:lvlJc w:val="left"/>
      <w:pPr>
        <w:ind w:left="1310" w:hanging="227"/>
      </w:pPr>
      <w:rPr>
        <w:rFonts w:hint="default"/>
      </w:rPr>
    </w:lvl>
    <w:lvl w:ilvl="3">
      <w:start w:val="0"/>
      <w:numFmt w:val="bullet"/>
      <w:lvlText w:val="•"/>
      <w:lvlJc w:val="left"/>
      <w:pPr>
        <w:ind w:left="1795" w:hanging="227"/>
      </w:pPr>
      <w:rPr>
        <w:rFonts w:hint="default"/>
      </w:rPr>
    </w:lvl>
    <w:lvl w:ilvl="4">
      <w:start w:val="0"/>
      <w:numFmt w:val="bullet"/>
      <w:lvlText w:val="•"/>
      <w:lvlJc w:val="left"/>
      <w:pPr>
        <w:ind w:left="2281" w:hanging="227"/>
      </w:pPr>
      <w:rPr>
        <w:rFonts w:hint="default"/>
      </w:rPr>
    </w:lvl>
    <w:lvl w:ilvl="5">
      <w:start w:val="0"/>
      <w:numFmt w:val="bullet"/>
      <w:lvlText w:val="•"/>
      <w:lvlJc w:val="left"/>
      <w:pPr>
        <w:ind w:left="2766" w:hanging="227"/>
      </w:pPr>
      <w:rPr>
        <w:rFonts w:hint="default"/>
      </w:rPr>
    </w:lvl>
    <w:lvl w:ilvl="6">
      <w:start w:val="0"/>
      <w:numFmt w:val="bullet"/>
      <w:lvlText w:val="•"/>
      <w:lvlJc w:val="left"/>
      <w:pPr>
        <w:ind w:left="3251" w:hanging="227"/>
      </w:pPr>
      <w:rPr>
        <w:rFonts w:hint="default"/>
      </w:rPr>
    </w:lvl>
    <w:lvl w:ilvl="7">
      <w:start w:val="0"/>
      <w:numFmt w:val="bullet"/>
      <w:lvlText w:val="•"/>
      <w:lvlJc w:val="left"/>
      <w:pPr>
        <w:ind w:left="3736" w:hanging="227"/>
      </w:pPr>
      <w:rPr>
        <w:rFonts w:hint="default"/>
      </w:rPr>
    </w:lvl>
    <w:lvl w:ilvl="8">
      <w:start w:val="0"/>
      <w:numFmt w:val="bullet"/>
      <w:lvlText w:val="•"/>
      <w:lvlJc w:val="left"/>
      <w:pPr>
        <w:ind w:left="4222" w:hanging="227"/>
      </w:pPr>
      <w:rPr>
        <w:rFonts w:hint="default"/>
      </w:rPr>
    </w:lvl>
  </w:abstractNum>
  <w:abstractNum w:abstractNumId="24">
    <w:multiLevelType w:val="hybridMultilevel"/>
    <w:lvl w:ilvl="0">
      <w:start w:val="1"/>
      <w:numFmt w:val="upperRoman"/>
      <w:lvlText w:val="%1."/>
      <w:lvlJc w:val="left"/>
      <w:pPr>
        <w:ind w:left="106" w:hanging="454"/>
        <w:jc w:val="right"/>
      </w:pPr>
      <w:rPr>
        <w:rFonts w:hint="default" w:ascii="Trebuchet MS" w:hAnsi="Trebuchet MS" w:eastAsia="Trebuchet MS" w:cs="Trebuchet MS"/>
        <w:b/>
        <w:bCs/>
        <w:color w:val="231F20"/>
        <w:w w:val="87"/>
        <w:sz w:val="18"/>
        <w:szCs w:val="18"/>
      </w:rPr>
    </w:lvl>
    <w:lvl w:ilvl="1">
      <w:start w:val="0"/>
      <w:numFmt w:val="bullet"/>
      <w:lvlText w:val="•"/>
      <w:lvlJc w:val="left"/>
      <w:pPr>
        <w:ind w:left="609" w:hanging="454"/>
      </w:pPr>
      <w:rPr>
        <w:rFonts w:hint="default"/>
      </w:rPr>
    </w:lvl>
    <w:lvl w:ilvl="2">
      <w:start w:val="0"/>
      <w:numFmt w:val="bullet"/>
      <w:lvlText w:val="•"/>
      <w:lvlJc w:val="left"/>
      <w:pPr>
        <w:ind w:left="1118" w:hanging="454"/>
      </w:pPr>
      <w:rPr>
        <w:rFonts w:hint="default"/>
      </w:rPr>
    </w:lvl>
    <w:lvl w:ilvl="3">
      <w:start w:val="0"/>
      <w:numFmt w:val="bullet"/>
      <w:lvlText w:val="•"/>
      <w:lvlJc w:val="left"/>
      <w:pPr>
        <w:ind w:left="1627" w:hanging="454"/>
      </w:pPr>
      <w:rPr>
        <w:rFonts w:hint="default"/>
      </w:rPr>
    </w:lvl>
    <w:lvl w:ilvl="4">
      <w:start w:val="0"/>
      <w:numFmt w:val="bullet"/>
      <w:lvlText w:val="•"/>
      <w:lvlJc w:val="left"/>
      <w:pPr>
        <w:ind w:left="2137" w:hanging="454"/>
      </w:pPr>
      <w:rPr>
        <w:rFonts w:hint="default"/>
      </w:rPr>
    </w:lvl>
    <w:lvl w:ilvl="5">
      <w:start w:val="0"/>
      <w:numFmt w:val="bullet"/>
      <w:lvlText w:val="•"/>
      <w:lvlJc w:val="left"/>
      <w:pPr>
        <w:ind w:left="2646" w:hanging="454"/>
      </w:pPr>
      <w:rPr>
        <w:rFonts w:hint="default"/>
      </w:rPr>
    </w:lvl>
    <w:lvl w:ilvl="6">
      <w:start w:val="0"/>
      <w:numFmt w:val="bullet"/>
      <w:lvlText w:val="•"/>
      <w:lvlJc w:val="left"/>
      <w:pPr>
        <w:ind w:left="3155" w:hanging="454"/>
      </w:pPr>
      <w:rPr>
        <w:rFonts w:hint="default"/>
      </w:rPr>
    </w:lvl>
    <w:lvl w:ilvl="7">
      <w:start w:val="0"/>
      <w:numFmt w:val="bullet"/>
      <w:lvlText w:val="•"/>
      <w:lvlJc w:val="left"/>
      <w:pPr>
        <w:ind w:left="3664" w:hanging="454"/>
      </w:pPr>
      <w:rPr>
        <w:rFonts w:hint="default"/>
      </w:rPr>
    </w:lvl>
    <w:lvl w:ilvl="8">
      <w:start w:val="0"/>
      <w:numFmt w:val="bullet"/>
      <w:lvlText w:val="•"/>
      <w:lvlJc w:val="left"/>
      <w:pPr>
        <w:ind w:left="4174" w:hanging="454"/>
      </w:pPr>
      <w:rPr>
        <w:rFonts w:hint="default"/>
      </w:rPr>
    </w:lvl>
  </w:abstractNum>
  <w:abstractNum w:abstractNumId="23">
    <w:multiLevelType w:val="hybridMultilevel"/>
    <w:lvl w:ilvl="0">
      <w:start w:val="1"/>
      <w:numFmt w:val="lowerLetter"/>
      <w:lvlText w:val="(%1)"/>
      <w:lvlJc w:val="left"/>
      <w:pPr>
        <w:ind w:left="226" w:hanging="227"/>
        <w:jc w:val="left"/>
      </w:pPr>
      <w:rPr>
        <w:rFonts w:hint="default" w:ascii="Trebuchet MS" w:hAnsi="Trebuchet MS" w:eastAsia="Trebuchet MS" w:cs="Trebuchet MS"/>
        <w:color w:val="586670"/>
        <w:spacing w:val="-1"/>
        <w:w w:val="79"/>
        <w:sz w:val="13"/>
        <w:szCs w:val="13"/>
      </w:rPr>
    </w:lvl>
    <w:lvl w:ilvl="1">
      <w:start w:val="0"/>
      <w:numFmt w:val="bullet"/>
      <w:lvlText w:val="•"/>
      <w:lvlJc w:val="left"/>
      <w:pPr>
        <w:ind w:left="929" w:hanging="227"/>
      </w:pPr>
      <w:rPr>
        <w:rFonts w:hint="default"/>
      </w:rPr>
    </w:lvl>
    <w:lvl w:ilvl="2">
      <w:start w:val="0"/>
      <w:numFmt w:val="bullet"/>
      <w:lvlText w:val="•"/>
      <w:lvlJc w:val="left"/>
      <w:pPr>
        <w:ind w:left="1639" w:hanging="227"/>
      </w:pPr>
      <w:rPr>
        <w:rFonts w:hint="default"/>
      </w:rPr>
    </w:lvl>
    <w:lvl w:ilvl="3">
      <w:start w:val="0"/>
      <w:numFmt w:val="bullet"/>
      <w:lvlText w:val="•"/>
      <w:lvlJc w:val="left"/>
      <w:pPr>
        <w:ind w:left="2349" w:hanging="227"/>
      </w:pPr>
      <w:rPr>
        <w:rFonts w:hint="default"/>
      </w:rPr>
    </w:lvl>
    <w:lvl w:ilvl="4">
      <w:start w:val="0"/>
      <w:numFmt w:val="bullet"/>
      <w:lvlText w:val="•"/>
      <w:lvlJc w:val="left"/>
      <w:pPr>
        <w:ind w:left="3059" w:hanging="227"/>
      </w:pPr>
      <w:rPr>
        <w:rFonts w:hint="default"/>
      </w:rPr>
    </w:lvl>
    <w:lvl w:ilvl="5">
      <w:start w:val="0"/>
      <w:numFmt w:val="bullet"/>
      <w:lvlText w:val="•"/>
      <w:lvlJc w:val="left"/>
      <w:pPr>
        <w:ind w:left="3769" w:hanging="227"/>
      </w:pPr>
      <w:rPr>
        <w:rFonts w:hint="default"/>
      </w:rPr>
    </w:lvl>
    <w:lvl w:ilvl="6">
      <w:start w:val="0"/>
      <w:numFmt w:val="bullet"/>
      <w:lvlText w:val="•"/>
      <w:lvlJc w:val="left"/>
      <w:pPr>
        <w:ind w:left="4479" w:hanging="227"/>
      </w:pPr>
      <w:rPr>
        <w:rFonts w:hint="default"/>
      </w:rPr>
    </w:lvl>
    <w:lvl w:ilvl="7">
      <w:start w:val="0"/>
      <w:numFmt w:val="bullet"/>
      <w:lvlText w:val="•"/>
      <w:lvlJc w:val="left"/>
      <w:pPr>
        <w:ind w:left="5189" w:hanging="227"/>
      </w:pPr>
      <w:rPr>
        <w:rFonts w:hint="default"/>
      </w:rPr>
    </w:lvl>
    <w:lvl w:ilvl="8">
      <w:start w:val="0"/>
      <w:numFmt w:val="bullet"/>
      <w:lvlText w:val="•"/>
      <w:lvlJc w:val="left"/>
      <w:pPr>
        <w:ind w:left="5899" w:hanging="227"/>
      </w:pPr>
      <w:rPr>
        <w:rFonts w:hint="default"/>
      </w:rPr>
    </w:lvl>
  </w:abstractNum>
  <w:abstractNum w:abstractNumId="22">
    <w:multiLevelType w:val="hybridMultilevel"/>
    <w:lvl w:ilvl="0">
      <w:start w:val="0"/>
      <w:numFmt w:val="bullet"/>
      <w:lvlText w:val="–"/>
      <w:lvlJc w:val="left"/>
      <w:pPr>
        <w:ind w:left="787" w:hanging="227"/>
      </w:pPr>
      <w:rPr>
        <w:rFonts w:hint="default" w:ascii="Trebuchet MS" w:hAnsi="Trebuchet MS" w:eastAsia="Trebuchet MS" w:cs="Trebuchet MS"/>
        <w:color w:val="231F20"/>
        <w:w w:val="143"/>
        <w:sz w:val="18"/>
        <w:szCs w:val="18"/>
      </w:rPr>
    </w:lvl>
    <w:lvl w:ilvl="1">
      <w:start w:val="0"/>
      <w:numFmt w:val="bullet"/>
      <w:lvlText w:val="•"/>
      <w:lvlJc w:val="left"/>
      <w:pPr>
        <w:ind w:left="1800" w:hanging="227"/>
      </w:pPr>
      <w:rPr>
        <w:rFonts w:hint="default"/>
      </w:rPr>
    </w:lvl>
    <w:lvl w:ilvl="2">
      <w:start w:val="0"/>
      <w:numFmt w:val="bullet"/>
      <w:lvlText w:val="•"/>
      <w:lvlJc w:val="left"/>
      <w:pPr>
        <w:ind w:left="2821" w:hanging="227"/>
      </w:pPr>
      <w:rPr>
        <w:rFonts w:hint="default"/>
      </w:rPr>
    </w:lvl>
    <w:lvl w:ilvl="3">
      <w:start w:val="0"/>
      <w:numFmt w:val="bullet"/>
      <w:lvlText w:val="•"/>
      <w:lvlJc w:val="left"/>
      <w:pPr>
        <w:ind w:left="3841" w:hanging="227"/>
      </w:pPr>
      <w:rPr>
        <w:rFonts w:hint="default"/>
      </w:rPr>
    </w:lvl>
    <w:lvl w:ilvl="4">
      <w:start w:val="0"/>
      <w:numFmt w:val="bullet"/>
      <w:lvlText w:val="•"/>
      <w:lvlJc w:val="left"/>
      <w:pPr>
        <w:ind w:left="4862" w:hanging="227"/>
      </w:pPr>
      <w:rPr>
        <w:rFonts w:hint="default"/>
      </w:rPr>
    </w:lvl>
    <w:lvl w:ilvl="5">
      <w:start w:val="0"/>
      <w:numFmt w:val="bullet"/>
      <w:lvlText w:val="•"/>
      <w:lvlJc w:val="left"/>
      <w:pPr>
        <w:ind w:left="5882" w:hanging="227"/>
      </w:pPr>
      <w:rPr>
        <w:rFonts w:hint="default"/>
      </w:rPr>
    </w:lvl>
    <w:lvl w:ilvl="6">
      <w:start w:val="0"/>
      <w:numFmt w:val="bullet"/>
      <w:lvlText w:val="•"/>
      <w:lvlJc w:val="left"/>
      <w:pPr>
        <w:ind w:left="6903" w:hanging="227"/>
      </w:pPr>
      <w:rPr>
        <w:rFonts w:hint="default"/>
      </w:rPr>
    </w:lvl>
    <w:lvl w:ilvl="7">
      <w:start w:val="0"/>
      <w:numFmt w:val="bullet"/>
      <w:lvlText w:val="•"/>
      <w:lvlJc w:val="left"/>
      <w:pPr>
        <w:ind w:left="7923" w:hanging="227"/>
      </w:pPr>
      <w:rPr>
        <w:rFonts w:hint="default"/>
      </w:rPr>
    </w:lvl>
    <w:lvl w:ilvl="8">
      <w:start w:val="0"/>
      <w:numFmt w:val="bullet"/>
      <w:lvlText w:val="•"/>
      <w:lvlJc w:val="left"/>
      <w:pPr>
        <w:ind w:left="8944" w:hanging="227"/>
      </w:pPr>
      <w:rPr>
        <w:rFonts w:hint="default"/>
      </w:rPr>
    </w:lvl>
  </w:abstractNum>
  <w:abstractNum w:abstractNumId="21">
    <w:multiLevelType w:val="hybridMultilevel"/>
    <w:lvl w:ilvl="0">
      <w:start w:val="0"/>
      <w:numFmt w:val="bullet"/>
      <w:lvlText w:val="–"/>
      <w:lvlJc w:val="left"/>
      <w:pPr>
        <w:ind w:left="418" w:hanging="227"/>
      </w:pPr>
      <w:rPr>
        <w:rFonts w:hint="default" w:ascii="Trebuchet MS" w:hAnsi="Trebuchet MS" w:eastAsia="Trebuchet MS" w:cs="Trebuchet MS"/>
        <w:color w:val="231F20"/>
        <w:w w:val="143"/>
        <w:sz w:val="18"/>
        <w:szCs w:val="18"/>
      </w:rPr>
    </w:lvl>
    <w:lvl w:ilvl="1">
      <w:start w:val="0"/>
      <w:numFmt w:val="bullet"/>
      <w:lvlText w:val="•"/>
      <w:lvlJc w:val="left"/>
      <w:pPr>
        <w:ind w:left="912" w:hanging="227"/>
      </w:pPr>
      <w:rPr>
        <w:rFonts w:hint="default"/>
      </w:rPr>
    </w:lvl>
    <w:lvl w:ilvl="2">
      <w:start w:val="0"/>
      <w:numFmt w:val="bullet"/>
      <w:lvlText w:val="•"/>
      <w:lvlJc w:val="left"/>
      <w:pPr>
        <w:ind w:left="1404" w:hanging="227"/>
      </w:pPr>
      <w:rPr>
        <w:rFonts w:hint="default"/>
      </w:rPr>
    </w:lvl>
    <w:lvl w:ilvl="3">
      <w:start w:val="0"/>
      <w:numFmt w:val="bullet"/>
      <w:lvlText w:val="•"/>
      <w:lvlJc w:val="left"/>
      <w:pPr>
        <w:ind w:left="1897" w:hanging="227"/>
      </w:pPr>
      <w:rPr>
        <w:rFonts w:hint="default"/>
      </w:rPr>
    </w:lvl>
    <w:lvl w:ilvl="4">
      <w:start w:val="0"/>
      <w:numFmt w:val="bullet"/>
      <w:lvlText w:val="•"/>
      <w:lvlJc w:val="left"/>
      <w:pPr>
        <w:ind w:left="2389" w:hanging="227"/>
      </w:pPr>
      <w:rPr>
        <w:rFonts w:hint="default"/>
      </w:rPr>
    </w:lvl>
    <w:lvl w:ilvl="5">
      <w:start w:val="0"/>
      <w:numFmt w:val="bullet"/>
      <w:lvlText w:val="•"/>
      <w:lvlJc w:val="left"/>
      <w:pPr>
        <w:ind w:left="2881" w:hanging="227"/>
      </w:pPr>
      <w:rPr>
        <w:rFonts w:hint="default"/>
      </w:rPr>
    </w:lvl>
    <w:lvl w:ilvl="6">
      <w:start w:val="0"/>
      <w:numFmt w:val="bullet"/>
      <w:lvlText w:val="•"/>
      <w:lvlJc w:val="left"/>
      <w:pPr>
        <w:ind w:left="3374" w:hanging="227"/>
      </w:pPr>
      <w:rPr>
        <w:rFonts w:hint="default"/>
      </w:rPr>
    </w:lvl>
    <w:lvl w:ilvl="7">
      <w:start w:val="0"/>
      <w:numFmt w:val="bullet"/>
      <w:lvlText w:val="•"/>
      <w:lvlJc w:val="left"/>
      <w:pPr>
        <w:ind w:left="3866" w:hanging="227"/>
      </w:pPr>
      <w:rPr>
        <w:rFonts w:hint="default"/>
      </w:rPr>
    </w:lvl>
    <w:lvl w:ilvl="8">
      <w:start w:val="0"/>
      <w:numFmt w:val="bullet"/>
      <w:lvlText w:val="•"/>
      <w:lvlJc w:val="left"/>
      <w:pPr>
        <w:ind w:left="4359" w:hanging="227"/>
      </w:pPr>
      <w:rPr>
        <w:rFonts w:hint="default"/>
      </w:rPr>
    </w:lvl>
  </w:abstractNum>
  <w:abstractNum w:abstractNumId="20">
    <w:multiLevelType w:val="hybridMultilevel"/>
    <w:lvl w:ilvl="0">
      <w:start w:val="1"/>
      <w:numFmt w:val="decimal"/>
      <w:lvlText w:val="%1."/>
      <w:lvlJc w:val="left"/>
      <w:pPr>
        <w:ind w:left="418" w:hanging="227"/>
        <w:jc w:val="right"/>
      </w:pPr>
      <w:rPr>
        <w:rFonts w:hint="default" w:ascii="Trebuchet MS" w:hAnsi="Trebuchet MS" w:eastAsia="Trebuchet MS" w:cs="Trebuchet MS"/>
        <w:color w:val="586670"/>
        <w:spacing w:val="-12"/>
        <w:w w:val="78"/>
        <w:sz w:val="18"/>
        <w:szCs w:val="18"/>
      </w:rPr>
    </w:lvl>
    <w:lvl w:ilvl="1">
      <w:start w:val="0"/>
      <w:numFmt w:val="bullet"/>
      <w:lvlText w:val="•"/>
      <w:lvlJc w:val="left"/>
      <w:pPr>
        <w:ind w:left="912" w:hanging="227"/>
      </w:pPr>
      <w:rPr>
        <w:rFonts w:hint="default"/>
      </w:rPr>
    </w:lvl>
    <w:lvl w:ilvl="2">
      <w:start w:val="0"/>
      <w:numFmt w:val="bullet"/>
      <w:lvlText w:val="•"/>
      <w:lvlJc w:val="left"/>
      <w:pPr>
        <w:ind w:left="1404" w:hanging="227"/>
      </w:pPr>
      <w:rPr>
        <w:rFonts w:hint="default"/>
      </w:rPr>
    </w:lvl>
    <w:lvl w:ilvl="3">
      <w:start w:val="0"/>
      <w:numFmt w:val="bullet"/>
      <w:lvlText w:val="•"/>
      <w:lvlJc w:val="left"/>
      <w:pPr>
        <w:ind w:left="1897" w:hanging="227"/>
      </w:pPr>
      <w:rPr>
        <w:rFonts w:hint="default"/>
      </w:rPr>
    </w:lvl>
    <w:lvl w:ilvl="4">
      <w:start w:val="0"/>
      <w:numFmt w:val="bullet"/>
      <w:lvlText w:val="•"/>
      <w:lvlJc w:val="left"/>
      <w:pPr>
        <w:ind w:left="2389" w:hanging="227"/>
      </w:pPr>
      <w:rPr>
        <w:rFonts w:hint="default"/>
      </w:rPr>
    </w:lvl>
    <w:lvl w:ilvl="5">
      <w:start w:val="0"/>
      <w:numFmt w:val="bullet"/>
      <w:lvlText w:val="•"/>
      <w:lvlJc w:val="left"/>
      <w:pPr>
        <w:ind w:left="2881" w:hanging="227"/>
      </w:pPr>
      <w:rPr>
        <w:rFonts w:hint="default"/>
      </w:rPr>
    </w:lvl>
    <w:lvl w:ilvl="6">
      <w:start w:val="0"/>
      <w:numFmt w:val="bullet"/>
      <w:lvlText w:val="•"/>
      <w:lvlJc w:val="left"/>
      <w:pPr>
        <w:ind w:left="3374" w:hanging="227"/>
      </w:pPr>
      <w:rPr>
        <w:rFonts w:hint="default"/>
      </w:rPr>
    </w:lvl>
    <w:lvl w:ilvl="7">
      <w:start w:val="0"/>
      <w:numFmt w:val="bullet"/>
      <w:lvlText w:val="•"/>
      <w:lvlJc w:val="left"/>
      <w:pPr>
        <w:ind w:left="3866" w:hanging="227"/>
      </w:pPr>
      <w:rPr>
        <w:rFonts w:hint="default"/>
      </w:rPr>
    </w:lvl>
    <w:lvl w:ilvl="8">
      <w:start w:val="0"/>
      <w:numFmt w:val="bullet"/>
      <w:lvlText w:val="•"/>
      <w:lvlJc w:val="left"/>
      <w:pPr>
        <w:ind w:left="4359" w:hanging="227"/>
      </w:pPr>
      <w:rPr>
        <w:rFonts w:hint="default"/>
      </w:rPr>
    </w:lvl>
  </w:abstractNum>
  <w:abstractNum w:abstractNumId="19">
    <w:multiLevelType w:val="hybridMultilevel"/>
    <w:lvl w:ilvl="0">
      <w:start w:val="1"/>
      <w:numFmt w:val="lowerLetter"/>
      <w:lvlText w:val="(%1)"/>
      <w:lvlJc w:val="left"/>
      <w:pPr>
        <w:ind w:left="226" w:hanging="227"/>
        <w:jc w:val="left"/>
      </w:pPr>
      <w:rPr>
        <w:rFonts w:hint="default" w:ascii="Trebuchet MS" w:hAnsi="Trebuchet MS" w:eastAsia="Trebuchet MS" w:cs="Trebuchet MS"/>
        <w:color w:val="586670"/>
        <w:spacing w:val="-1"/>
        <w:w w:val="79"/>
        <w:sz w:val="13"/>
        <w:szCs w:val="13"/>
      </w:rPr>
    </w:lvl>
    <w:lvl w:ilvl="1">
      <w:start w:val="0"/>
      <w:numFmt w:val="bullet"/>
      <w:lvlText w:val="•"/>
      <w:lvlJc w:val="left"/>
      <w:pPr>
        <w:ind w:left="734" w:hanging="227"/>
      </w:pPr>
      <w:rPr>
        <w:rFonts w:hint="default"/>
      </w:rPr>
    </w:lvl>
    <w:lvl w:ilvl="2">
      <w:start w:val="0"/>
      <w:numFmt w:val="bullet"/>
      <w:lvlText w:val="•"/>
      <w:lvlJc w:val="left"/>
      <w:pPr>
        <w:ind w:left="1248" w:hanging="227"/>
      </w:pPr>
      <w:rPr>
        <w:rFonts w:hint="default"/>
      </w:rPr>
    </w:lvl>
    <w:lvl w:ilvl="3">
      <w:start w:val="0"/>
      <w:numFmt w:val="bullet"/>
      <w:lvlText w:val="•"/>
      <w:lvlJc w:val="left"/>
      <w:pPr>
        <w:ind w:left="1762" w:hanging="227"/>
      </w:pPr>
      <w:rPr>
        <w:rFonts w:hint="default"/>
      </w:rPr>
    </w:lvl>
    <w:lvl w:ilvl="4">
      <w:start w:val="0"/>
      <w:numFmt w:val="bullet"/>
      <w:lvlText w:val="•"/>
      <w:lvlJc w:val="left"/>
      <w:pPr>
        <w:ind w:left="2277" w:hanging="227"/>
      </w:pPr>
      <w:rPr>
        <w:rFonts w:hint="default"/>
      </w:rPr>
    </w:lvl>
    <w:lvl w:ilvl="5">
      <w:start w:val="0"/>
      <w:numFmt w:val="bullet"/>
      <w:lvlText w:val="•"/>
      <w:lvlJc w:val="left"/>
      <w:pPr>
        <w:ind w:left="2791" w:hanging="227"/>
      </w:pPr>
      <w:rPr>
        <w:rFonts w:hint="default"/>
      </w:rPr>
    </w:lvl>
    <w:lvl w:ilvl="6">
      <w:start w:val="0"/>
      <w:numFmt w:val="bullet"/>
      <w:lvlText w:val="•"/>
      <w:lvlJc w:val="left"/>
      <w:pPr>
        <w:ind w:left="3305" w:hanging="227"/>
      </w:pPr>
      <w:rPr>
        <w:rFonts w:hint="default"/>
      </w:rPr>
    </w:lvl>
    <w:lvl w:ilvl="7">
      <w:start w:val="0"/>
      <w:numFmt w:val="bullet"/>
      <w:lvlText w:val="•"/>
      <w:lvlJc w:val="left"/>
      <w:pPr>
        <w:ind w:left="3820" w:hanging="227"/>
      </w:pPr>
      <w:rPr>
        <w:rFonts w:hint="default"/>
      </w:rPr>
    </w:lvl>
    <w:lvl w:ilvl="8">
      <w:start w:val="0"/>
      <w:numFmt w:val="bullet"/>
      <w:lvlText w:val="•"/>
      <w:lvlJc w:val="left"/>
      <w:pPr>
        <w:ind w:left="4334" w:hanging="227"/>
      </w:pPr>
      <w:rPr>
        <w:rFonts w:hint="default"/>
      </w:rPr>
    </w:lvl>
  </w:abstractNum>
  <w:abstractNum w:abstractNumId="18">
    <w:multiLevelType w:val="hybridMultilevel"/>
    <w:lvl w:ilvl="0">
      <w:start w:val="0"/>
      <w:numFmt w:val="bullet"/>
      <w:lvlText w:val="•"/>
      <w:lvlJc w:val="left"/>
      <w:pPr>
        <w:ind w:left="218" w:hanging="116"/>
      </w:pPr>
      <w:rPr>
        <w:rFonts w:hint="default" w:ascii="Trebuchet MS" w:hAnsi="Trebuchet MS" w:eastAsia="Trebuchet MS" w:cs="Trebuchet MS"/>
        <w:color w:val="0083CA"/>
        <w:w w:val="98"/>
        <w:sz w:val="15"/>
        <w:szCs w:val="15"/>
      </w:rPr>
    </w:lvl>
    <w:lvl w:ilvl="1">
      <w:start w:val="0"/>
      <w:numFmt w:val="bullet"/>
      <w:lvlText w:val="•"/>
      <w:lvlJc w:val="left"/>
      <w:pPr>
        <w:ind w:left="346" w:hanging="116"/>
      </w:pPr>
      <w:rPr>
        <w:rFonts w:hint="default"/>
      </w:rPr>
    </w:lvl>
    <w:lvl w:ilvl="2">
      <w:start w:val="0"/>
      <w:numFmt w:val="bullet"/>
      <w:lvlText w:val="•"/>
      <w:lvlJc w:val="left"/>
      <w:pPr>
        <w:ind w:left="472" w:hanging="116"/>
      </w:pPr>
      <w:rPr>
        <w:rFonts w:hint="default"/>
      </w:rPr>
    </w:lvl>
    <w:lvl w:ilvl="3">
      <w:start w:val="0"/>
      <w:numFmt w:val="bullet"/>
      <w:lvlText w:val="•"/>
      <w:lvlJc w:val="left"/>
      <w:pPr>
        <w:ind w:left="598" w:hanging="116"/>
      </w:pPr>
      <w:rPr>
        <w:rFonts w:hint="default"/>
      </w:rPr>
    </w:lvl>
    <w:lvl w:ilvl="4">
      <w:start w:val="0"/>
      <w:numFmt w:val="bullet"/>
      <w:lvlText w:val="•"/>
      <w:lvlJc w:val="left"/>
      <w:pPr>
        <w:ind w:left="724" w:hanging="116"/>
      </w:pPr>
      <w:rPr>
        <w:rFonts w:hint="default"/>
      </w:rPr>
    </w:lvl>
    <w:lvl w:ilvl="5">
      <w:start w:val="0"/>
      <w:numFmt w:val="bullet"/>
      <w:lvlText w:val="•"/>
      <w:lvlJc w:val="left"/>
      <w:pPr>
        <w:ind w:left="850" w:hanging="116"/>
      </w:pPr>
      <w:rPr>
        <w:rFonts w:hint="default"/>
      </w:rPr>
    </w:lvl>
    <w:lvl w:ilvl="6">
      <w:start w:val="0"/>
      <w:numFmt w:val="bullet"/>
      <w:lvlText w:val="•"/>
      <w:lvlJc w:val="left"/>
      <w:pPr>
        <w:ind w:left="976" w:hanging="116"/>
      </w:pPr>
      <w:rPr>
        <w:rFonts w:hint="default"/>
      </w:rPr>
    </w:lvl>
    <w:lvl w:ilvl="7">
      <w:start w:val="0"/>
      <w:numFmt w:val="bullet"/>
      <w:lvlText w:val="•"/>
      <w:lvlJc w:val="left"/>
      <w:pPr>
        <w:ind w:left="1102" w:hanging="116"/>
      </w:pPr>
      <w:rPr>
        <w:rFonts w:hint="default"/>
      </w:rPr>
    </w:lvl>
    <w:lvl w:ilvl="8">
      <w:start w:val="0"/>
      <w:numFmt w:val="bullet"/>
      <w:lvlText w:val="•"/>
      <w:lvlJc w:val="left"/>
      <w:pPr>
        <w:ind w:left="1228" w:hanging="116"/>
      </w:pPr>
      <w:rPr>
        <w:rFonts w:hint="default"/>
      </w:rPr>
    </w:lvl>
  </w:abstractNum>
  <w:abstractNum w:abstractNumId="17">
    <w:multiLevelType w:val="hybridMultilevel"/>
    <w:lvl w:ilvl="0">
      <w:start w:val="0"/>
      <w:numFmt w:val="bullet"/>
      <w:lvlText w:val="•"/>
      <w:lvlJc w:val="left"/>
      <w:pPr>
        <w:ind w:left="594" w:hanging="116"/>
      </w:pPr>
      <w:rPr>
        <w:rFonts w:hint="default" w:ascii="Trebuchet MS" w:hAnsi="Trebuchet MS" w:eastAsia="Trebuchet MS" w:cs="Trebuchet MS"/>
        <w:color w:val="0083CA"/>
        <w:w w:val="98"/>
        <w:sz w:val="15"/>
        <w:szCs w:val="15"/>
      </w:rPr>
    </w:lvl>
    <w:lvl w:ilvl="1">
      <w:start w:val="0"/>
      <w:numFmt w:val="bullet"/>
      <w:lvlText w:val="•"/>
      <w:lvlJc w:val="left"/>
      <w:pPr>
        <w:ind w:left="740" w:hanging="116"/>
      </w:pPr>
      <w:rPr>
        <w:rFonts w:hint="default"/>
      </w:rPr>
    </w:lvl>
    <w:lvl w:ilvl="2">
      <w:start w:val="0"/>
      <w:numFmt w:val="bullet"/>
      <w:lvlText w:val="•"/>
      <w:lvlJc w:val="left"/>
      <w:pPr>
        <w:ind w:left="881" w:hanging="116"/>
      </w:pPr>
      <w:rPr>
        <w:rFonts w:hint="default"/>
      </w:rPr>
    </w:lvl>
    <w:lvl w:ilvl="3">
      <w:start w:val="0"/>
      <w:numFmt w:val="bullet"/>
      <w:lvlText w:val="•"/>
      <w:lvlJc w:val="left"/>
      <w:pPr>
        <w:ind w:left="1022" w:hanging="116"/>
      </w:pPr>
      <w:rPr>
        <w:rFonts w:hint="default"/>
      </w:rPr>
    </w:lvl>
    <w:lvl w:ilvl="4">
      <w:start w:val="0"/>
      <w:numFmt w:val="bullet"/>
      <w:lvlText w:val="•"/>
      <w:lvlJc w:val="left"/>
      <w:pPr>
        <w:ind w:left="1162" w:hanging="116"/>
      </w:pPr>
      <w:rPr>
        <w:rFonts w:hint="default"/>
      </w:rPr>
    </w:lvl>
    <w:lvl w:ilvl="5">
      <w:start w:val="0"/>
      <w:numFmt w:val="bullet"/>
      <w:lvlText w:val="•"/>
      <w:lvlJc w:val="left"/>
      <w:pPr>
        <w:ind w:left="1303" w:hanging="116"/>
      </w:pPr>
      <w:rPr>
        <w:rFonts w:hint="default"/>
      </w:rPr>
    </w:lvl>
    <w:lvl w:ilvl="6">
      <w:start w:val="0"/>
      <w:numFmt w:val="bullet"/>
      <w:lvlText w:val="•"/>
      <w:lvlJc w:val="left"/>
      <w:pPr>
        <w:ind w:left="1444" w:hanging="116"/>
      </w:pPr>
      <w:rPr>
        <w:rFonts w:hint="default"/>
      </w:rPr>
    </w:lvl>
    <w:lvl w:ilvl="7">
      <w:start w:val="0"/>
      <w:numFmt w:val="bullet"/>
      <w:lvlText w:val="•"/>
      <w:lvlJc w:val="left"/>
      <w:pPr>
        <w:ind w:left="1584" w:hanging="116"/>
      </w:pPr>
      <w:rPr>
        <w:rFonts w:hint="default"/>
      </w:rPr>
    </w:lvl>
    <w:lvl w:ilvl="8">
      <w:start w:val="0"/>
      <w:numFmt w:val="bullet"/>
      <w:lvlText w:val="•"/>
      <w:lvlJc w:val="left"/>
      <w:pPr>
        <w:ind w:left="1725" w:hanging="116"/>
      </w:pPr>
      <w:rPr>
        <w:rFonts w:hint="default"/>
      </w:rPr>
    </w:lvl>
  </w:abstractNum>
  <w:abstractNum w:abstractNumId="16">
    <w:multiLevelType w:val="hybridMultilevel"/>
    <w:lvl w:ilvl="0">
      <w:start w:val="0"/>
      <w:numFmt w:val="bullet"/>
      <w:lvlText w:val="•"/>
      <w:lvlJc w:val="left"/>
      <w:pPr>
        <w:ind w:left="494" w:hanging="116"/>
      </w:pPr>
      <w:rPr>
        <w:rFonts w:hint="default" w:ascii="Trebuchet MS" w:hAnsi="Trebuchet MS" w:eastAsia="Trebuchet MS" w:cs="Trebuchet MS"/>
        <w:color w:val="0083CA"/>
        <w:w w:val="98"/>
        <w:sz w:val="15"/>
        <w:szCs w:val="15"/>
      </w:rPr>
    </w:lvl>
    <w:lvl w:ilvl="1">
      <w:start w:val="0"/>
      <w:numFmt w:val="bullet"/>
      <w:lvlText w:val="•"/>
      <w:lvlJc w:val="left"/>
      <w:pPr>
        <w:ind w:left="615" w:hanging="116"/>
      </w:pPr>
      <w:rPr>
        <w:rFonts w:hint="default"/>
      </w:rPr>
    </w:lvl>
    <w:lvl w:ilvl="2">
      <w:start w:val="0"/>
      <w:numFmt w:val="bullet"/>
      <w:lvlText w:val="•"/>
      <w:lvlJc w:val="left"/>
      <w:pPr>
        <w:ind w:left="731" w:hanging="116"/>
      </w:pPr>
      <w:rPr>
        <w:rFonts w:hint="default"/>
      </w:rPr>
    </w:lvl>
    <w:lvl w:ilvl="3">
      <w:start w:val="0"/>
      <w:numFmt w:val="bullet"/>
      <w:lvlText w:val="•"/>
      <w:lvlJc w:val="left"/>
      <w:pPr>
        <w:ind w:left="847" w:hanging="116"/>
      </w:pPr>
      <w:rPr>
        <w:rFonts w:hint="default"/>
      </w:rPr>
    </w:lvl>
    <w:lvl w:ilvl="4">
      <w:start w:val="0"/>
      <w:numFmt w:val="bullet"/>
      <w:lvlText w:val="•"/>
      <w:lvlJc w:val="left"/>
      <w:pPr>
        <w:ind w:left="963" w:hanging="116"/>
      </w:pPr>
      <w:rPr>
        <w:rFonts w:hint="default"/>
      </w:rPr>
    </w:lvl>
    <w:lvl w:ilvl="5">
      <w:start w:val="0"/>
      <w:numFmt w:val="bullet"/>
      <w:lvlText w:val="•"/>
      <w:lvlJc w:val="left"/>
      <w:pPr>
        <w:ind w:left="1079" w:hanging="116"/>
      </w:pPr>
      <w:rPr>
        <w:rFonts w:hint="default"/>
      </w:rPr>
    </w:lvl>
    <w:lvl w:ilvl="6">
      <w:start w:val="0"/>
      <w:numFmt w:val="bullet"/>
      <w:lvlText w:val="•"/>
      <w:lvlJc w:val="left"/>
      <w:pPr>
        <w:ind w:left="1194" w:hanging="116"/>
      </w:pPr>
      <w:rPr>
        <w:rFonts w:hint="default"/>
      </w:rPr>
    </w:lvl>
    <w:lvl w:ilvl="7">
      <w:start w:val="0"/>
      <w:numFmt w:val="bullet"/>
      <w:lvlText w:val="•"/>
      <w:lvlJc w:val="left"/>
      <w:pPr>
        <w:ind w:left="1310" w:hanging="116"/>
      </w:pPr>
      <w:rPr>
        <w:rFonts w:hint="default"/>
      </w:rPr>
    </w:lvl>
    <w:lvl w:ilvl="8">
      <w:start w:val="0"/>
      <w:numFmt w:val="bullet"/>
      <w:lvlText w:val="•"/>
      <w:lvlJc w:val="left"/>
      <w:pPr>
        <w:ind w:left="1426" w:hanging="116"/>
      </w:pPr>
      <w:rPr>
        <w:rFonts w:hint="default"/>
      </w:rPr>
    </w:lvl>
  </w:abstractNum>
  <w:abstractNum w:abstractNumId="15">
    <w:multiLevelType w:val="hybridMultilevel"/>
    <w:lvl w:ilvl="0">
      <w:start w:val="0"/>
      <w:numFmt w:val="bullet"/>
      <w:lvlText w:val="•"/>
      <w:lvlJc w:val="left"/>
      <w:pPr>
        <w:ind w:left="930" w:hanging="116"/>
      </w:pPr>
      <w:rPr>
        <w:rFonts w:hint="default" w:ascii="Trebuchet MS" w:hAnsi="Trebuchet MS" w:eastAsia="Trebuchet MS" w:cs="Trebuchet MS"/>
        <w:color w:val="0083CA"/>
        <w:w w:val="98"/>
        <w:sz w:val="15"/>
        <w:szCs w:val="15"/>
      </w:rPr>
    </w:lvl>
    <w:lvl w:ilvl="1">
      <w:start w:val="0"/>
      <w:numFmt w:val="bullet"/>
      <w:lvlText w:val="•"/>
      <w:lvlJc w:val="left"/>
      <w:pPr>
        <w:ind w:left="1115" w:hanging="116"/>
      </w:pPr>
      <w:rPr>
        <w:rFonts w:hint="default"/>
      </w:rPr>
    </w:lvl>
    <w:lvl w:ilvl="2">
      <w:start w:val="0"/>
      <w:numFmt w:val="bullet"/>
      <w:lvlText w:val="•"/>
      <w:lvlJc w:val="left"/>
      <w:pPr>
        <w:ind w:left="1291" w:hanging="116"/>
      </w:pPr>
      <w:rPr>
        <w:rFonts w:hint="default"/>
      </w:rPr>
    </w:lvl>
    <w:lvl w:ilvl="3">
      <w:start w:val="0"/>
      <w:numFmt w:val="bullet"/>
      <w:lvlText w:val="•"/>
      <w:lvlJc w:val="left"/>
      <w:pPr>
        <w:ind w:left="1466" w:hanging="116"/>
      </w:pPr>
      <w:rPr>
        <w:rFonts w:hint="default"/>
      </w:rPr>
    </w:lvl>
    <w:lvl w:ilvl="4">
      <w:start w:val="0"/>
      <w:numFmt w:val="bullet"/>
      <w:lvlText w:val="•"/>
      <w:lvlJc w:val="left"/>
      <w:pPr>
        <w:ind w:left="1642" w:hanging="116"/>
      </w:pPr>
      <w:rPr>
        <w:rFonts w:hint="default"/>
      </w:rPr>
    </w:lvl>
    <w:lvl w:ilvl="5">
      <w:start w:val="0"/>
      <w:numFmt w:val="bullet"/>
      <w:lvlText w:val="•"/>
      <w:lvlJc w:val="left"/>
      <w:pPr>
        <w:ind w:left="1818" w:hanging="116"/>
      </w:pPr>
      <w:rPr>
        <w:rFonts w:hint="default"/>
      </w:rPr>
    </w:lvl>
    <w:lvl w:ilvl="6">
      <w:start w:val="0"/>
      <w:numFmt w:val="bullet"/>
      <w:lvlText w:val="•"/>
      <w:lvlJc w:val="left"/>
      <w:pPr>
        <w:ind w:left="1993" w:hanging="116"/>
      </w:pPr>
      <w:rPr>
        <w:rFonts w:hint="default"/>
      </w:rPr>
    </w:lvl>
    <w:lvl w:ilvl="7">
      <w:start w:val="0"/>
      <w:numFmt w:val="bullet"/>
      <w:lvlText w:val="•"/>
      <w:lvlJc w:val="left"/>
      <w:pPr>
        <w:ind w:left="2169" w:hanging="116"/>
      </w:pPr>
      <w:rPr>
        <w:rFonts w:hint="default"/>
      </w:rPr>
    </w:lvl>
    <w:lvl w:ilvl="8">
      <w:start w:val="0"/>
      <w:numFmt w:val="bullet"/>
      <w:lvlText w:val="•"/>
      <w:lvlJc w:val="left"/>
      <w:pPr>
        <w:ind w:left="2344" w:hanging="116"/>
      </w:pPr>
      <w:rPr>
        <w:rFonts w:hint="default"/>
      </w:rPr>
    </w:lvl>
  </w:abstractNum>
  <w:abstractNum w:abstractNumId="14">
    <w:multiLevelType w:val="hybridMultilevel"/>
    <w:lvl w:ilvl="0">
      <w:start w:val="1"/>
      <w:numFmt w:val="lowerLetter"/>
      <w:lvlText w:val="(%1)"/>
      <w:lvlJc w:val="left"/>
      <w:pPr>
        <w:ind w:left="333" w:hanging="227"/>
        <w:jc w:val="left"/>
      </w:pPr>
      <w:rPr>
        <w:rFonts w:hint="default" w:ascii="Trebuchet MS" w:hAnsi="Trebuchet MS" w:eastAsia="Trebuchet MS" w:cs="Trebuchet MS"/>
        <w:color w:val="586670"/>
        <w:spacing w:val="-1"/>
        <w:w w:val="79"/>
        <w:sz w:val="13"/>
        <w:szCs w:val="13"/>
      </w:rPr>
    </w:lvl>
    <w:lvl w:ilvl="1">
      <w:start w:val="1"/>
      <w:numFmt w:val="lowerLetter"/>
      <w:lvlText w:val="(%2)"/>
      <w:lvlJc w:val="left"/>
      <w:pPr>
        <w:ind w:left="787" w:hanging="227"/>
        <w:jc w:val="left"/>
      </w:pPr>
      <w:rPr>
        <w:rFonts w:hint="default" w:ascii="Trebuchet MS" w:hAnsi="Trebuchet MS" w:eastAsia="Trebuchet MS" w:cs="Trebuchet MS"/>
        <w:color w:val="586670"/>
        <w:spacing w:val="-1"/>
        <w:w w:val="79"/>
        <w:sz w:val="13"/>
        <w:szCs w:val="13"/>
      </w:rPr>
    </w:lvl>
    <w:lvl w:ilvl="2">
      <w:start w:val="0"/>
      <w:numFmt w:val="bullet"/>
      <w:lvlText w:val="•"/>
      <w:lvlJc w:val="left"/>
      <w:pPr>
        <w:ind w:left="1913" w:hanging="227"/>
      </w:pPr>
      <w:rPr>
        <w:rFonts w:hint="default"/>
      </w:rPr>
    </w:lvl>
    <w:lvl w:ilvl="3">
      <w:start w:val="0"/>
      <w:numFmt w:val="bullet"/>
      <w:lvlText w:val="•"/>
      <w:lvlJc w:val="left"/>
      <w:pPr>
        <w:ind w:left="3047" w:hanging="227"/>
      </w:pPr>
      <w:rPr>
        <w:rFonts w:hint="default"/>
      </w:rPr>
    </w:lvl>
    <w:lvl w:ilvl="4">
      <w:start w:val="0"/>
      <w:numFmt w:val="bullet"/>
      <w:lvlText w:val="•"/>
      <w:lvlJc w:val="left"/>
      <w:pPr>
        <w:ind w:left="4181" w:hanging="227"/>
      </w:pPr>
      <w:rPr>
        <w:rFonts w:hint="default"/>
      </w:rPr>
    </w:lvl>
    <w:lvl w:ilvl="5">
      <w:start w:val="0"/>
      <w:numFmt w:val="bullet"/>
      <w:lvlText w:val="•"/>
      <w:lvlJc w:val="left"/>
      <w:pPr>
        <w:ind w:left="5315" w:hanging="227"/>
      </w:pPr>
      <w:rPr>
        <w:rFonts w:hint="default"/>
      </w:rPr>
    </w:lvl>
    <w:lvl w:ilvl="6">
      <w:start w:val="0"/>
      <w:numFmt w:val="bullet"/>
      <w:lvlText w:val="•"/>
      <w:lvlJc w:val="left"/>
      <w:pPr>
        <w:ind w:left="6449" w:hanging="227"/>
      </w:pPr>
      <w:rPr>
        <w:rFonts w:hint="default"/>
      </w:rPr>
    </w:lvl>
    <w:lvl w:ilvl="7">
      <w:start w:val="0"/>
      <w:numFmt w:val="bullet"/>
      <w:lvlText w:val="•"/>
      <w:lvlJc w:val="left"/>
      <w:pPr>
        <w:ind w:left="7583" w:hanging="227"/>
      </w:pPr>
      <w:rPr>
        <w:rFonts w:hint="default"/>
      </w:rPr>
    </w:lvl>
    <w:lvl w:ilvl="8">
      <w:start w:val="0"/>
      <w:numFmt w:val="bullet"/>
      <w:lvlText w:val="•"/>
      <w:lvlJc w:val="left"/>
      <w:pPr>
        <w:ind w:left="8717" w:hanging="227"/>
      </w:pPr>
      <w:rPr>
        <w:rFonts w:hint="default"/>
      </w:rPr>
    </w:lvl>
  </w:abstractNum>
  <w:abstractNum w:abstractNumId="13">
    <w:multiLevelType w:val="hybridMultilevel"/>
    <w:lvl w:ilvl="0">
      <w:start w:val="1"/>
      <w:numFmt w:val="lowerLetter"/>
      <w:lvlText w:val="(%1)"/>
      <w:lvlJc w:val="left"/>
      <w:pPr>
        <w:ind w:left="787" w:hanging="227"/>
        <w:jc w:val="left"/>
      </w:pPr>
      <w:rPr>
        <w:rFonts w:hint="default" w:ascii="Trebuchet MS" w:hAnsi="Trebuchet MS" w:eastAsia="Trebuchet MS" w:cs="Trebuchet MS"/>
        <w:color w:val="586670"/>
        <w:spacing w:val="-1"/>
        <w:w w:val="79"/>
        <w:sz w:val="13"/>
        <w:szCs w:val="13"/>
      </w:rPr>
    </w:lvl>
    <w:lvl w:ilvl="1">
      <w:start w:val="0"/>
      <w:numFmt w:val="bullet"/>
      <w:lvlText w:val="•"/>
      <w:lvlJc w:val="left"/>
      <w:pPr>
        <w:ind w:left="1800" w:hanging="227"/>
      </w:pPr>
      <w:rPr>
        <w:rFonts w:hint="default"/>
      </w:rPr>
    </w:lvl>
    <w:lvl w:ilvl="2">
      <w:start w:val="0"/>
      <w:numFmt w:val="bullet"/>
      <w:lvlText w:val="•"/>
      <w:lvlJc w:val="left"/>
      <w:pPr>
        <w:ind w:left="2821" w:hanging="227"/>
      </w:pPr>
      <w:rPr>
        <w:rFonts w:hint="default"/>
      </w:rPr>
    </w:lvl>
    <w:lvl w:ilvl="3">
      <w:start w:val="0"/>
      <w:numFmt w:val="bullet"/>
      <w:lvlText w:val="•"/>
      <w:lvlJc w:val="left"/>
      <w:pPr>
        <w:ind w:left="3841" w:hanging="227"/>
      </w:pPr>
      <w:rPr>
        <w:rFonts w:hint="default"/>
      </w:rPr>
    </w:lvl>
    <w:lvl w:ilvl="4">
      <w:start w:val="0"/>
      <w:numFmt w:val="bullet"/>
      <w:lvlText w:val="•"/>
      <w:lvlJc w:val="left"/>
      <w:pPr>
        <w:ind w:left="4862" w:hanging="227"/>
      </w:pPr>
      <w:rPr>
        <w:rFonts w:hint="default"/>
      </w:rPr>
    </w:lvl>
    <w:lvl w:ilvl="5">
      <w:start w:val="0"/>
      <w:numFmt w:val="bullet"/>
      <w:lvlText w:val="•"/>
      <w:lvlJc w:val="left"/>
      <w:pPr>
        <w:ind w:left="5882" w:hanging="227"/>
      </w:pPr>
      <w:rPr>
        <w:rFonts w:hint="default"/>
      </w:rPr>
    </w:lvl>
    <w:lvl w:ilvl="6">
      <w:start w:val="0"/>
      <w:numFmt w:val="bullet"/>
      <w:lvlText w:val="•"/>
      <w:lvlJc w:val="left"/>
      <w:pPr>
        <w:ind w:left="6903" w:hanging="227"/>
      </w:pPr>
      <w:rPr>
        <w:rFonts w:hint="default"/>
      </w:rPr>
    </w:lvl>
    <w:lvl w:ilvl="7">
      <w:start w:val="0"/>
      <w:numFmt w:val="bullet"/>
      <w:lvlText w:val="•"/>
      <w:lvlJc w:val="left"/>
      <w:pPr>
        <w:ind w:left="7923" w:hanging="227"/>
      </w:pPr>
      <w:rPr>
        <w:rFonts w:hint="default"/>
      </w:rPr>
    </w:lvl>
    <w:lvl w:ilvl="8">
      <w:start w:val="0"/>
      <w:numFmt w:val="bullet"/>
      <w:lvlText w:val="•"/>
      <w:lvlJc w:val="left"/>
      <w:pPr>
        <w:ind w:left="8944" w:hanging="227"/>
      </w:pPr>
      <w:rPr>
        <w:rFonts w:hint="default"/>
      </w:rPr>
    </w:lvl>
  </w:abstractNum>
  <w:abstractNum w:abstractNumId="12">
    <w:multiLevelType w:val="hybridMultilevel"/>
    <w:lvl w:ilvl="0">
      <w:start w:val="1"/>
      <w:numFmt w:val="lowerRoman"/>
      <w:lvlText w:val="%1)"/>
      <w:lvlJc w:val="left"/>
      <w:pPr>
        <w:ind w:left="333" w:hanging="227"/>
        <w:jc w:val="left"/>
      </w:pPr>
      <w:rPr>
        <w:rFonts w:hint="default" w:ascii="Trebuchet MS" w:hAnsi="Trebuchet MS" w:eastAsia="Trebuchet MS" w:cs="Trebuchet MS"/>
        <w:color w:val="231F20"/>
        <w:spacing w:val="-1"/>
        <w:w w:val="82"/>
        <w:sz w:val="18"/>
        <w:szCs w:val="18"/>
      </w:rPr>
    </w:lvl>
    <w:lvl w:ilvl="1">
      <w:start w:val="0"/>
      <w:numFmt w:val="bullet"/>
      <w:lvlText w:val="•"/>
      <w:lvlJc w:val="left"/>
      <w:pPr>
        <w:ind w:left="825" w:hanging="227"/>
      </w:pPr>
      <w:rPr>
        <w:rFonts w:hint="default"/>
      </w:rPr>
    </w:lvl>
    <w:lvl w:ilvl="2">
      <w:start w:val="0"/>
      <w:numFmt w:val="bullet"/>
      <w:lvlText w:val="•"/>
      <w:lvlJc w:val="left"/>
      <w:pPr>
        <w:ind w:left="1310" w:hanging="227"/>
      </w:pPr>
      <w:rPr>
        <w:rFonts w:hint="default"/>
      </w:rPr>
    </w:lvl>
    <w:lvl w:ilvl="3">
      <w:start w:val="0"/>
      <w:numFmt w:val="bullet"/>
      <w:lvlText w:val="•"/>
      <w:lvlJc w:val="left"/>
      <w:pPr>
        <w:ind w:left="1796" w:hanging="227"/>
      </w:pPr>
      <w:rPr>
        <w:rFonts w:hint="default"/>
      </w:rPr>
    </w:lvl>
    <w:lvl w:ilvl="4">
      <w:start w:val="0"/>
      <w:numFmt w:val="bullet"/>
      <w:lvlText w:val="•"/>
      <w:lvlJc w:val="left"/>
      <w:pPr>
        <w:ind w:left="2281" w:hanging="227"/>
      </w:pPr>
      <w:rPr>
        <w:rFonts w:hint="default"/>
      </w:rPr>
    </w:lvl>
    <w:lvl w:ilvl="5">
      <w:start w:val="0"/>
      <w:numFmt w:val="bullet"/>
      <w:lvlText w:val="•"/>
      <w:lvlJc w:val="left"/>
      <w:pPr>
        <w:ind w:left="2766" w:hanging="227"/>
      </w:pPr>
      <w:rPr>
        <w:rFonts w:hint="default"/>
      </w:rPr>
    </w:lvl>
    <w:lvl w:ilvl="6">
      <w:start w:val="0"/>
      <w:numFmt w:val="bullet"/>
      <w:lvlText w:val="•"/>
      <w:lvlJc w:val="left"/>
      <w:pPr>
        <w:ind w:left="3252" w:hanging="227"/>
      </w:pPr>
      <w:rPr>
        <w:rFonts w:hint="default"/>
      </w:rPr>
    </w:lvl>
    <w:lvl w:ilvl="7">
      <w:start w:val="0"/>
      <w:numFmt w:val="bullet"/>
      <w:lvlText w:val="•"/>
      <w:lvlJc w:val="left"/>
      <w:pPr>
        <w:ind w:left="3737" w:hanging="227"/>
      </w:pPr>
      <w:rPr>
        <w:rFonts w:hint="default"/>
      </w:rPr>
    </w:lvl>
    <w:lvl w:ilvl="8">
      <w:start w:val="0"/>
      <w:numFmt w:val="bullet"/>
      <w:lvlText w:val="•"/>
      <w:lvlJc w:val="left"/>
      <w:pPr>
        <w:ind w:left="4222" w:hanging="227"/>
      </w:pPr>
      <w:rPr>
        <w:rFonts w:hint="default"/>
      </w:rPr>
    </w:lvl>
  </w:abstractNum>
  <w:abstractNum w:abstractNumId="11">
    <w:multiLevelType w:val="hybridMultilevel"/>
    <w:lvl w:ilvl="0">
      <w:start w:val="1"/>
      <w:numFmt w:val="lowerLetter"/>
      <w:lvlText w:val="%1)"/>
      <w:lvlJc w:val="left"/>
      <w:pPr>
        <w:ind w:left="787" w:hanging="227"/>
        <w:jc w:val="right"/>
      </w:pPr>
      <w:rPr>
        <w:rFonts w:hint="default" w:ascii="Trebuchet MS" w:hAnsi="Trebuchet MS" w:eastAsia="Trebuchet MS" w:cs="Trebuchet MS"/>
        <w:color w:val="231F20"/>
        <w:spacing w:val="-5"/>
        <w:w w:val="93"/>
        <w:sz w:val="18"/>
        <w:szCs w:val="18"/>
      </w:rPr>
    </w:lvl>
    <w:lvl w:ilvl="1">
      <w:start w:val="0"/>
      <w:numFmt w:val="bullet"/>
      <w:lvlText w:val="•"/>
      <w:lvlJc w:val="left"/>
      <w:pPr>
        <w:ind w:left="1262" w:hanging="227"/>
      </w:pPr>
      <w:rPr>
        <w:rFonts w:hint="default"/>
      </w:rPr>
    </w:lvl>
    <w:lvl w:ilvl="2">
      <w:start w:val="0"/>
      <w:numFmt w:val="bullet"/>
      <w:lvlText w:val="•"/>
      <w:lvlJc w:val="left"/>
      <w:pPr>
        <w:ind w:left="1744" w:hanging="227"/>
      </w:pPr>
      <w:rPr>
        <w:rFonts w:hint="default"/>
      </w:rPr>
    </w:lvl>
    <w:lvl w:ilvl="3">
      <w:start w:val="0"/>
      <w:numFmt w:val="bullet"/>
      <w:lvlText w:val="•"/>
      <w:lvlJc w:val="left"/>
      <w:pPr>
        <w:ind w:left="2226" w:hanging="227"/>
      </w:pPr>
      <w:rPr>
        <w:rFonts w:hint="default"/>
      </w:rPr>
    </w:lvl>
    <w:lvl w:ilvl="4">
      <w:start w:val="0"/>
      <w:numFmt w:val="bullet"/>
      <w:lvlText w:val="•"/>
      <w:lvlJc w:val="left"/>
      <w:pPr>
        <w:ind w:left="2708" w:hanging="227"/>
      </w:pPr>
      <w:rPr>
        <w:rFonts w:hint="default"/>
      </w:rPr>
    </w:lvl>
    <w:lvl w:ilvl="5">
      <w:start w:val="0"/>
      <w:numFmt w:val="bullet"/>
      <w:lvlText w:val="•"/>
      <w:lvlJc w:val="left"/>
      <w:pPr>
        <w:ind w:left="3190" w:hanging="227"/>
      </w:pPr>
      <w:rPr>
        <w:rFonts w:hint="default"/>
      </w:rPr>
    </w:lvl>
    <w:lvl w:ilvl="6">
      <w:start w:val="0"/>
      <w:numFmt w:val="bullet"/>
      <w:lvlText w:val="•"/>
      <w:lvlJc w:val="left"/>
      <w:pPr>
        <w:ind w:left="3672" w:hanging="227"/>
      </w:pPr>
      <w:rPr>
        <w:rFonts w:hint="default"/>
      </w:rPr>
    </w:lvl>
    <w:lvl w:ilvl="7">
      <w:start w:val="0"/>
      <w:numFmt w:val="bullet"/>
      <w:lvlText w:val="•"/>
      <w:lvlJc w:val="left"/>
      <w:pPr>
        <w:ind w:left="4154" w:hanging="227"/>
      </w:pPr>
      <w:rPr>
        <w:rFonts w:hint="default"/>
      </w:rPr>
    </w:lvl>
    <w:lvl w:ilvl="8">
      <w:start w:val="0"/>
      <w:numFmt w:val="bullet"/>
      <w:lvlText w:val="•"/>
      <w:lvlJc w:val="left"/>
      <w:pPr>
        <w:ind w:left="4636" w:hanging="227"/>
      </w:pPr>
      <w:rPr>
        <w:rFonts w:hint="default"/>
      </w:rPr>
    </w:lvl>
  </w:abstractNum>
  <w:abstractNum w:abstractNumId="10">
    <w:multiLevelType w:val="hybridMultilevel"/>
    <w:lvl w:ilvl="0">
      <w:start w:val="0"/>
      <w:numFmt w:val="bullet"/>
      <w:lvlText w:val="–"/>
      <w:lvlJc w:val="left"/>
      <w:pPr>
        <w:ind w:left="333" w:hanging="227"/>
      </w:pPr>
      <w:rPr>
        <w:rFonts w:hint="default" w:ascii="Trebuchet MS" w:hAnsi="Trebuchet MS" w:eastAsia="Trebuchet MS" w:cs="Trebuchet MS"/>
        <w:color w:val="231F20"/>
        <w:w w:val="143"/>
        <w:sz w:val="18"/>
        <w:szCs w:val="18"/>
      </w:rPr>
    </w:lvl>
    <w:lvl w:ilvl="1">
      <w:start w:val="0"/>
      <w:numFmt w:val="bullet"/>
      <w:lvlText w:val="–"/>
      <w:lvlJc w:val="left"/>
      <w:pPr>
        <w:ind w:left="646" w:hanging="227"/>
      </w:pPr>
      <w:rPr>
        <w:rFonts w:hint="default" w:ascii="Trebuchet MS" w:hAnsi="Trebuchet MS" w:eastAsia="Trebuchet MS" w:cs="Trebuchet MS"/>
        <w:color w:val="231F20"/>
        <w:w w:val="143"/>
        <w:sz w:val="18"/>
        <w:szCs w:val="18"/>
      </w:rPr>
    </w:lvl>
    <w:lvl w:ilvl="2">
      <w:start w:val="0"/>
      <w:numFmt w:val="bullet"/>
      <w:lvlText w:val="•"/>
      <w:lvlJc w:val="left"/>
      <w:pPr>
        <w:ind w:left="780" w:hanging="227"/>
      </w:pPr>
      <w:rPr>
        <w:rFonts w:hint="default"/>
      </w:rPr>
    </w:lvl>
    <w:lvl w:ilvl="3">
      <w:start w:val="0"/>
      <w:numFmt w:val="bullet"/>
      <w:lvlText w:val="•"/>
      <w:lvlJc w:val="left"/>
      <w:pPr>
        <w:ind w:left="1350" w:hanging="227"/>
      </w:pPr>
      <w:rPr>
        <w:rFonts w:hint="default"/>
      </w:rPr>
    </w:lvl>
    <w:lvl w:ilvl="4">
      <w:start w:val="0"/>
      <w:numFmt w:val="bullet"/>
      <w:lvlText w:val="•"/>
      <w:lvlJc w:val="left"/>
      <w:pPr>
        <w:ind w:left="1921" w:hanging="227"/>
      </w:pPr>
      <w:rPr>
        <w:rFonts w:hint="default"/>
      </w:rPr>
    </w:lvl>
    <w:lvl w:ilvl="5">
      <w:start w:val="0"/>
      <w:numFmt w:val="bullet"/>
      <w:lvlText w:val="•"/>
      <w:lvlJc w:val="left"/>
      <w:pPr>
        <w:ind w:left="2492" w:hanging="227"/>
      </w:pPr>
      <w:rPr>
        <w:rFonts w:hint="default"/>
      </w:rPr>
    </w:lvl>
    <w:lvl w:ilvl="6">
      <w:start w:val="0"/>
      <w:numFmt w:val="bullet"/>
      <w:lvlText w:val="•"/>
      <w:lvlJc w:val="left"/>
      <w:pPr>
        <w:ind w:left="3062" w:hanging="227"/>
      </w:pPr>
      <w:rPr>
        <w:rFonts w:hint="default"/>
      </w:rPr>
    </w:lvl>
    <w:lvl w:ilvl="7">
      <w:start w:val="0"/>
      <w:numFmt w:val="bullet"/>
      <w:lvlText w:val="•"/>
      <w:lvlJc w:val="left"/>
      <w:pPr>
        <w:ind w:left="3633" w:hanging="227"/>
      </w:pPr>
      <w:rPr>
        <w:rFonts w:hint="default"/>
      </w:rPr>
    </w:lvl>
    <w:lvl w:ilvl="8">
      <w:start w:val="0"/>
      <w:numFmt w:val="bullet"/>
      <w:lvlText w:val="•"/>
      <w:lvlJc w:val="left"/>
      <w:pPr>
        <w:ind w:left="4204" w:hanging="227"/>
      </w:pPr>
      <w:rPr>
        <w:rFonts w:hint="default"/>
      </w:rPr>
    </w:lvl>
  </w:abstractNum>
  <w:abstractNum w:abstractNumId="9">
    <w:multiLevelType w:val="hybridMultilevel"/>
    <w:lvl w:ilvl="0">
      <w:start w:val="0"/>
      <w:numFmt w:val="bullet"/>
      <w:lvlText w:val="•"/>
      <w:lvlJc w:val="left"/>
      <w:pPr>
        <w:ind w:left="218" w:hanging="116"/>
      </w:pPr>
      <w:rPr>
        <w:rFonts w:hint="default" w:ascii="Trebuchet MS" w:hAnsi="Trebuchet MS" w:eastAsia="Trebuchet MS" w:cs="Trebuchet MS"/>
        <w:color w:val="0083CA"/>
        <w:w w:val="98"/>
        <w:sz w:val="15"/>
        <w:szCs w:val="15"/>
      </w:rPr>
    </w:lvl>
    <w:lvl w:ilvl="1">
      <w:start w:val="0"/>
      <w:numFmt w:val="bullet"/>
      <w:lvlText w:val="•"/>
      <w:lvlJc w:val="left"/>
      <w:pPr>
        <w:ind w:left="346" w:hanging="116"/>
      </w:pPr>
      <w:rPr>
        <w:rFonts w:hint="default"/>
      </w:rPr>
    </w:lvl>
    <w:lvl w:ilvl="2">
      <w:start w:val="0"/>
      <w:numFmt w:val="bullet"/>
      <w:lvlText w:val="•"/>
      <w:lvlJc w:val="left"/>
      <w:pPr>
        <w:ind w:left="472" w:hanging="116"/>
      </w:pPr>
      <w:rPr>
        <w:rFonts w:hint="default"/>
      </w:rPr>
    </w:lvl>
    <w:lvl w:ilvl="3">
      <w:start w:val="0"/>
      <w:numFmt w:val="bullet"/>
      <w:lvlText w:val="•"/>
      <w:lvlJc w:val="left"/>
      <w:pPr>
        <w:ind w:left="598" w:hanging="116"/>
      </w:pPr>
      <w:rPr>
        <w:rFonts w:hint="default"/>
      </w:rPr>
    </w:lvl>
    <w:lvl w:ilvl="4">
      <w:start w:val="0"/>
      <w:numFmt w:val="bullet"/>
      <w:lvlText w:val="•"/>
      <w:lvlJc w:val="left"/>
      <w:pPr>
        <w:ind w:left="725" w:hanging="116"/>
      </w:pPr>
      <w:rPr>
        <w:rFonts w:hint="default"/>
      </w:rPr>
    </w:lvl>
    <w:lvl w:ilvl="5">
      <w:start w:val="0"/>
      <w:numFmt w:val="bullet"/>
      <w:lvlText w:val="•"/>
      <w:lvlJc w:val="left"/>
      <w:pPr>
        <w:ind w:left="851" w:hanging="116"/>
      </w:pPr>
      <w:rPr>
        <w:rFonts w:hint="default"/>
      </w:rPr>
    </w:lvl>
    <w:lvl w:ilvl="6">
      <w:start w:val="0"/>
      <w:numFmt w:val="bullet"/>
      <w:lvlText w:val="•"/>
      <w:lvlJc w:val="left"/>
      <w:pPr>
        <w:ind w:left="977" w:hanging="116"/>
      </w:pPr>
      <w:rPr>
        <w:rFonts w:hint="default"/>
      </w:rPr>
    </w:lvl>
    <w:lvl w:ilvl="7">
      <w:start w:val="0"/>
      <w:numFmt w:val="bullet"/>
      <w:lvlText w:val="•"/>
      <w:lvlJc w:val="left"/>
      <w:pPr>
        <w:ind w:left="1104" w:hanging="116"/>
      </w:pPr>
      <w:rPr>
        <w:rFonts w:hint="default"/>
      </w:rPr>
    </w:lvl>
    <w:lvl w:ilvl="8">
      <w:start w:val="0"/>
      <w:numFmt w:val="bullet"/>
      <w:lvlText w:val="•"/>
      <w:lvlJc w:val="left"/>
      <w:pPr>
        <w:ind w:left="1230" w:hanging="116"/>
      </w:pPr>
      <w:rPr>
        <w:rFonts w:hint="default"/>
      </w:rPr>
    </w:lvl>
  </w:abstractNum>
  <w:abstractNum w:abstractNumId="8">
    <w:multiLevelType w:val="hybridMultilevel"/>
    <w:lvl w:ilvl="0">
      <w:start w:val="0"/>
      <w:numFmt w:val="bullet"/>
      <w:lvlText w:val="•"/>
      <w:lvlJc w:val="left"/>
      <w:pPr>
        <w:ind w:left="593" w:hanging="116"/>
      </w:pPr>
      <w:rPr>
        <w:rFonts w:hint="default" w:ascii="Trebuchet MS" w:hAnsi="Trebuchet MS" w:eastAsia="Trebuchet MS" w:cs="Trebuchet MS"/>
        <w:color w:val="0083CA"/>
        <w:w w:val="98"/>
        <w:sz w:val="15"/>
        <w:szCs w:val="15"/>
      </w:rPr>
    </w:lvl>
    <w:lvl w:ilvl="1">
      <w:start w:val="0"/>
      <w:numFmt w:val="bullet"/>
      <w:lvlText w:val="•"/>
      <w:lvlJc w:val="left"/>
      <w:pPr>
        <w:ind w:left="740" w:hanging="116"/>
      </w:pPr>
      <w:rPr>
        <w:rFonts w:hint="default"/>
      </w:rPr>
    </w:lvl>
    <w:lvl w:ilvl="2">
      <w:start w:val="0"/>
      <w:numFmt w:val="bullet"/>
      <w:lvlText w:val="•"/>
      <w:lvlJc w:val="left"/>
      <w:pPr>
        <w:ind w:left="881" w:hanging="116"/>
      </w:pPr>
      <w:rPr>
        <w:rFonts w:hint="default"/>
      </w:rPr>
    </w:lvl>
    <w:lvl w:ilvl="3">
      <w:start w:val="0"/>
      <w:numFmt w:val="bullet"/>
      <w:lvlText w:val="•"/>
      <w:lvlJc w:val="left"/>
      <w:pPr>
        <w:ind w:left="1022" w:hanging="116"/>
      </w:pPr>
      <w:rPr>
        <w:rFonts w:hint="default"/>
      </w:rPr>
    </w:lvl>
    <w:lvl w:ilvl="4">
      <w:start w:val="0"/>
      <w:numFmt w:val="bullet"/>
      <w:lvlText w:val="•"/>
      <w:lvlJc w:val="left"/>
      <w:pPr>
        <w:ind w:left="1162" w:hanging="116"/>
      </w:pPr>
      <w:rPr>
        <w:rFonts w:hint="default"/>
      </w:rPr>
    </w:lvl>
    <w:lvl w:ilvl="5">
      <w:start w:val="0"/>
      <w:numFmt w:val="bullet"/>
      <w:lvlText w:val="•"/>
      <w:lvlJc w:val="left"/>
      <w:pPr>
        <w:ind w:left="1303" w:hanging="116"/>
      </w:pPr>
      <w:rPr>
        <w:rFonts w:hint="default"/>
      </w:rPr>
    </w:lvl>
    <w:lvl w:ilvl="6">
      <w:start w:val="0"/>
      <w:numFmt w:val="bullet"/>
      <w:lvlText w:val="•"/>
      <w:lvlJc w:val="left"/>
      <w:pPr>
        <w:ind w:left="1444" w:hanging="116"/>
      </w:pPr>
      <w:rPr>
        <w:rFonts w:hint="default"/>
      </w:rPr>
    </w:lvl>
    <w:lvl w:ilvl="7">
      <w:start w:val="0"/>
      <w:numFmt w:val="bullet"/>
      <w:lvlText w:val="•"/>
      <w:lvlJc w:val="left"/>
      <w:pPr>
        <w:ind w:left="1584" w:hanging="116"/>
      </w:pPr>
      <w:rPr>
        <w:rFonts w:hint="default"/>
      </w:rPr>
    </w:lvl>
    <w:lvl w:ilvl="8">
      <w:start w:val="0"/>
      <w:numFmt w:val="bullet"/>
      <w:lvlText w:val="•"/>
      <w:lvlJc w:val="left"/>
      <w:pPr>
        <w:ind w:left="1725" w:hanging="116"/>
      </w:pPr>
      <w:rPr>
        <w:rFonts w:hint="default"/>
      </w:rPr>
    </w:lvl>
  </w:abstractNum>
  <w:abstractNum w:abstractNumId="7">
    <w:multiLevelType w:val="hybridMultilevel"/>
    <w:lvl w:ilvl="0">
      <w:start w:val="0"/>
      <w:numFmt w:val="bullet"/>
      <w:lvlText w:val="•"/>
      <w:lvlJc w:val="left"/>
      <w:pPr>
        <w:ind w:left="492" w:hanging="116"/>
      </w:pPr>
      <w:rPr>
        <w:rFonts w:hint="default" w:ascii="Trebuchet MS" w:hAnsi="Trebuchet MS" w:eastAsia="Trebuchet MS" w:cs="Trebuchet MS"/>
        <w:color w:val="0083CA"/>
        <w:w w:val="98"/>
        <w:sz w:val="15"/>
        <w:szCs w:val="15"/>
      </w:rPr>
    </w:lvl>
    <w:lvl w:ilvl="1">
      <w:start w:val="0"/>
      <w:numFmt w:val="bullet"/>
      <w:lvlText w:val="•"/>
      <w:lvlJc w:val="left"/>
      <w:pPr>
        <w:ind w:left="615" w:hanging="116"/>
      </w:pPr>
      <w:rPr>
        <w:rFonts w:hint="default"/>
      </w:rPr>
    </w:lvl>
    <w:lvl w:ilvl="2">
      <w:start w:val="0"/>
      <w:numFmt w:val="bullet"/>
      <w:lvlText w:val="•"/>
      <w:lvlJc w:val="left"/>
      <w:pPr>
        <w:ind w:left="731" w:hanging="116"/>
      </w:pPr>
      <w:rPr>
        <w:rFonts w:hint="default"/>
      </w:rPr>
    </w:lvl>
    <w:lvl w:ilvl="3">
      <w:start w:val="0"/>
      <w:numFmt w:val="bullet"/>
      <w:lvlText w:val="•"/>
      <w:lvlJc w:val="left"/>
      <w:pPr>
        <w:ind w:left="847" w:hanging="116"/>
      </w:pPr>
      <w:rPr>
        <w:rFonts w:hint="default"/>
      </w:rPr>
    </w:lvl>
    <w:lvl w:ilvl="4">
      <w:start w:val="0"/>
      <w:numFmt w:val="bullet"/>
      <w:lvlText w:val="•"/>
      <w:lvlJc w:val="left"/>
      <w:pPr>
        <w:ind w:left="962" w:hanging="116"/>
      </w:pPr>
      <w:rPr>
        <w:rFonts w:hint="default"/>
      </w:rPr>
    </w:lvl>
    <w:lvl w:ilvl="5">
      <w:start w:val="0"/>
      <w:numFmt w:val="bullet"/>
      <w:lvlText w:val="•"/>
      <w:lvlJc w:val="left"/>
      <w:pPr>
        <w:ind w:left="1078" w:hanging="116"/>
      </w:pPr>
      <w:rPr>
        <w:rFonts w:hint="default"/>
      </w:rPr>
    </w:lvl>
    <w:lvl w:ilvl="6">
      <w:start w:val="0"/>
      <w:numFmt w:val="bullet"/>
      <w:lvlText w:val="•"/>
      <w:lvlJc w:val="left"/>
      <w:pPr>
        <w:ind w:left="1194" w:hanging="116"/>
      </w:pPr>
      <w:rPr>
        <w:rFonts w:hint="default"/>
      </w:rPr>
    </w:lvl>
    <w:lvl w:ilvl="7">
      <w:start w:val="0"/>
      <w:numFmt w:val="bullet"/>
      <w:lvlText w:val="•"/>
      <w:lvlJc w:val="left"/>
      <w:pPr>
        <w:ind w:left="1309" w:hanging="116"/>
      </w:pPr>
      <w:rPr>
        <w:rFonts w:hint="default"/>
      </w:rPr>
    </w:lvl>
    <w:lvl w:ilvl="8">
      <w:start w:val="0"/>
      <w:numFmt w:val="bullet"/>
      <w:lvlText w:val="•"/>
      <w:lvlJc w:val="left"/>
      <w:pPr>
        <w:ind w:left="1425" w:hanging="116"/>
      </w:pPr>
      <w:rPr>
        <w:rFonts w:hint="default"/>
      </w:rPr>
    </w:lvl>
  </w:abstractNum>
  <w:abstractNum w:abstractNumId="6">
    <w:multiLevelType w:val="hybridMultilevel"/>
    <w:lvl w:ilvl="0">
      <w:start w:val="0"/>
      <w:numFmt w:val="bullet"/>
      <w:lvlText w:val="•"/>
      <w:lvlJc w:val="left"/>
      <w:pPr>
        <w:ind w:left="930" w:hanging="116"/>
      </w:pPr>
      <w:rPr>
        <w:rFonts w:hint="default" w:ascii="Trebuchet MS" w:hAnsi="Trebuchet MS" w:eastAsia="Trebuchet MS" w:cs="Trebuchet MS"/>
        <w:color w:val="0083CA"/>
        <w:w w:val="98"/>
        <w:sz w:val="15"/>
        <w:szCs w:val="15"/>
      </w:rPr>
    </w:lvl>
    <w:lvl w:ilvl="1">
      <w:start w:val="0"/>
      <w:numFmt w:val="bullet"/>
      <w:lvlText w:val="•"/>
      <w:lvlJc w:val="left"/>
      <w:pPr>
        <w:ind w:left="1115" w:hanging="116"/>
      </w:pPr>
      <w:rPr>
        <w:rFonts w:hint="default"/>
      </w:rPr>
    </w:lvl>
    <w:lvl w:ilvl="2">
      <w:start w:val="0"/>
      <w:numFmt w:val="bullet"/>
      <w:lvlText w:val="•"/>
      <w:lvlJc w:val="left"/>
      <w:pPr>
        <w:ind w:left="1291" w:hanging="116"/>
      </w:pPr>
      <w:rPr>
        <w:rFonts w:hint="default"/>
      </w:rPr>
    </w:lvl>
    <w:lvl w:ilvl="3">
      <w:start w:val="0"/>
      <w:numFmt w:val="bullet"/>
      <w:lvlText w:val="•"/>
      <w:lvlJc w:val="left"/>
      <w:pPr>
        <w:ind w:left="1466" w:hanging="116"/>
      </w:pPr>
      <w:rPr>
        <w:rFonts w:hint="default"/>
      </w:rPr>
    </w:lvl>
    <w:lvl w:ilvl="4">
      <w:start w:val="0"/>
      <w:numFmt w:val="bullet"/>
      <w:lvlText w:val="•"/>
      <w:lvlJc w:val="left"/>
      <w:pPr>
        <w:ind w:left="1642" w:hanging="116"/>
      </w:pPr>
      <w:rPr>
        <w:rFonts w:hint="default"/>
      </w:rPr>
    </w:lvl>
    <w:lvl w:ilvl="5">
      <w:start w:val="0"/>
      <w:numFmt w:val="bullet"/>
      <w:lvlText w:val="•"/>
      <w:lvlJc w:val="left"/>
      <w:pPr>
        <w:ind w:left="1818" w:hanging="116"/>
      </w:pPr>
      <w:rPr>
        <w:rFonts w:hint="default"/>
      </w:rPr>
    </w:lvl>
    <w:lvl w:ilvl="6">
      <w:start w:val="0"/>
      <w:numFmt w:val="bullet"/>
      <w:lvlText w:val="•"/>
      <w:lvlJc w:val="left"/>
      <w:pPr>
        <w:ind w:left="1993" w:hanging="116"/>
      </w:pPr>
      <w:rPr>
        <w:rFonts w:hint="default"/>
      </w:rPr>
    </w:lvl>
    <w:lvl w:ilvl="7">
      <w:start w:val="0"/>
      <w:numFmt w:val="bullet"/>
      <w:lvlText w:val="•"/>
      <w:lvlJc w:val="left"/>
      <w:pPr>
        <w:ind w:left="2169" w:hanging="116"/>
      </w:pPr>
      <w:rPr>
        <w:rFonts w:hint="default"/>
      </w:rPr>
    </w:lvl>
    <w:lvl w:ilvl="8">
      <w:start w:val="0"/>
      <w:numFmt w:val="bullet"/>
      <w:lvlText w:val="•"/>
      <w:lvlJc w:val="left"/>
      <w:pPr>
        <w:ind w:left="2344" w:hanging="116"/>
      </w:pPr>
      <w:rPr>
        <w:rFonts w:hint="default"/>
      </w:rPr>
    </w:lvl>
  </w:abstractNum>
  <w:abstractNum w:abstractNumId="5">
    <w:multiLevelType w:val="hybridMultilevel"/>
    <w:lvl w:ilvl="0">
      <w:start w:val="3"/>
      <w:numFmt w:val="decimal"/>
      <w:lvlText w:val="%1"/>
      <w:lvlJc w:val="left"/>
      <w:pPr>
        <w:ind w:left="1013" w:hanging="454"/>
        <w:jc w:val="left"/>
      </w:pPr>
      <w:rPr>
        <w:rFonts w:hint="default"/>
      </w:rPr>
    </w:lvl>
    <w:lvl w:ilvl="1">
      <w:start w:val="4"/>
      <w:numFmt w:val="decimal"/>
      <w:lvlText w:val="%1.%2"/>
      <w:lvlJc w:val="left"/>
      <w:pPr>
        <w:ind w:left="560" w:hanging="454"/>
        <w:jc w:val="right"/>
      </w:pPr>
      <w:rPr>
        <w:rFonts w:hint="default" w:ascii="Trebuchet MS" w:hAnsi="Trebuchet MS" w:eastAsia="Trebuchet MS" w:cs="Trebuchet MS"/>
        <w:b/>
        <w:bCs/>
        <w:color w:val="586670"/>
        <w:w w:val="87"/>
        <w:sz w:val="18"/>
        <w:szCs w:val="18"/>
      </w:rPr>
    </w:lvl>
    <w:lvl w:ilvl="2">
      <w:start w:val="1"/>
      <w:numFmt w:val="decimal"/>
      <w:lvlText w:val="%1.%2.%3"/>
      <w:lvlJc w:val="left"/>
      <w:pPr>
        <w:ind w:left="1014" w:hanging="454"/>
        <w:jc w:val="left"/>
      </w:pPr>
      <w:rPr>
        <w:rFonts w:hint="default" w:ascii="Trebuchet MS" w:hAnsi="Trebuchet MS" w:eastAsia="Trebuchet MS" w:cs="Trebuchet MS"/>
        <w:color w:val="586670"/>
        <w:spacing w:val="-17"/>
        <w:w w:val="78"/>
        <w:sz w:val="18"/>
        <w:szCs w:val="18"/>
      </w:rPr>
    </w:lvl>
    <w:lvl w:ilvl="3">
      <w:start w:val="0"/>
      <w:numFmt w:val="bullet"/>
      <w:lvlText w:val="•"/>
      <w:lvlJc w:val="left"/>
      <w:pPr>
        <w:ind w:left="2037" w:hanging="454"/>
      </w:pPr>
      <w:rPr>
        <w:rFonts w:hint="default"/>
      </w:rPr>
    </w:lvl>
    <w:lvl w:ilvl="4">
      <w:start w:val="0"/>
      <w:numFmt w:val="bullet"/>
      <w:lvlText w:val="•"/>
      <w:lvlJc w:val="left"/>
      <w:pPr>
        <w:ind w:left="2546" w:hanging="454"/>
      </w:pPr>
      <w:rPr>
        <w:rFonts w:hint="default"/>
      </w:rPr>
    </w:lvl>
    <w:lvl w:ilvl="5">
      <w:start w:val="0"/>
      <w:numFmt w:val="bullet"/>
      <w:lvlText w:val="•"/>
      <w:lvlJc w:val="left"/>
      <w:pPr>
        <w:ind w:left="3055" w:hanging="454"/>
      </w:pPr>
      <w:rPr>
        <w:rFonts w:hint="default"/>
      </w:rPr>
    </w:lvl>
    <w:lvl w:ilvl="6">
      <w:start w:val="0"/>
      <w:numFmt w:val="bullet"/>
      <w:lvlText w:val="•"/>
      <w:lvlJc w:val="left"/>
      <w:pPr>
        <w:ind w:left="3564" w:hanging="454"/>
      </w:pPr>
      <w:rPr>
        <w:rFonts w:hint="default"/>
      </w:rPr>
    </w:lvl>
    <w:lvl w:ilvl="7">
      <w:start w:val="0"/>
      <w:numFmt w:val="bullet"/>
      <w:lvlText w:val="•"/>
      <w:lvlJc w:val="left"/>
      <w:pPr>
        <w:ind w:left="4073" w:hanging="454"/>
      </w:pPr>
      <w:rPr>
        <w:rFonts w:hint="default"/>
      </w:rPr>
    </w:lvl>
    <w:lvl w:ilvl="8">
      <w:start w:val="0"/>
      <w:numFmt w:val="bullet"/>
      <w:lvlText w:val="•"/>
      <w:lvlJc w:val="left"/>
      <w:pPr>
        <w:ind w:left="4582" w:hanging="454"/>
      </w:pPr>
      <w:rPr>
        <w:rFonts w:hint="default"/>
      </w:rPr>
    </w:lvl>
  </w:abstractNum>
  <w:abstractNum w:abstractNumId="4">
    <w:multiLevelType w:val="hybridMultilevel"/>
    <w:lvl w:ilvl="0">
      <w:start w:val="3"/>
      <w:numFmt w:val="decimal"/>
      <w:lvlText w:val="%1"/>
      <w:lvlJc w:val="left"/>
      <w:pPr>
        <w:ind w:left="1014" w:hanging="454"/>
        <w:jc w:val="left"/>
      </w:pPr>
      <w:rPr>
        <w:rFonts w:hint="default"/>
      </w:rPr>
    </w:lvl>
    <w:lvl w:ilvl="1">
      <w:start w:val="2"/>
      <w:numFmt w:val="decimal"/>
      <w:lvlText w:val="%1.%2"/>
      <w:lvlJc w:val="left"/>
      <w:pPr>
        <w:ind w:left="1014" w:hanging="454"/>
        <w:jc w:val="right"/>
      </w:pPr>
      <w:rPr>
        <w:rFonts w:hint="default" w:ascii="Trebuchet MS" w:hAnsi="Trebuchet MS" w:eastAsia="Trebuchet MS" w:cs="Trebuchet MS"/>
        <w:b/>
        <w:bCs/>
        <w:color w:val="586670"/>
        <w:w w:val="87"/>
        <w:sz w:val="18"/>
        <w:szCs w:val="18"/>
      </w:rPr>
    </w:lvl>
    <w:lvl w:ilvl="2">
      <w:start w:val="0"/>
      <w:numFmt w:val="bullet"/>
      <w:lvlText w:val="•"/>
      <w:lvlJc w:val="left"/>
      <w:pPr>
        <w:ind w:left="1937" w:hanging="454"/>
      </w:pPr>
      <w:rPr>
        <w:rFonts w:hint="default"/>
      </w:rPr>
    </w:lvl>
    <w:lvl w:ilvl="3">
      <w:start w:val="0"/>
      <w:numFmt w:val="bullet"/>
      <w:lvlText w:val="•"/>
      <w:lvlJc w:val="left"/>
      <w:pPr>
        <w:ind w:left="2395" w:hanging="454"/>
      </w:pPr>
      <w:rPr>
        <w:rFonts w:hint="default"/>
      </w:rPr>
    </w:lvl>
    <w:lvl w:ilvl="4">
      <w:start w:val="0"/>
      <w:numFmt w:val="bullet"/>
      <w:lvlText w:val="•"/>
      <w:lvlJc w:val="left"/>
      <w:pPr>
        <w:ind w:left="2854" w:hanging="454"/>
      </w:pPr>
      <w:rPr>
        <w:rFonts w:hint="default"/>
      </w:rPr>
    </w:lvl>
    <w:lvl w:ilvl="5">
      <w:start w:val="0"/>
      <w:numFmt w:val="bullet"/>
      <w:lvlText w:val="•"/>
      <w:lvlJc w:val="left"/>
      <w:pPr>
        <w:ind w:left="3313" w:hanging="454"/>
      </w:pPr>
      <w:rPr>
        <w:rFonts w:hint="default"/>
      </w:rPr>
    </w:lvl>
    <w:lvl w:ilvl="6">
      <w:start w:val="0"/>
      <w:numFmt w:val="bullet"/>
      <w:lvlText w:val="•"/>
      <w:lvlJc w:val="left"/>
      <w:pPr>
        <w:ind w:left="3771" w:hanging="454"/>
      </w:pPr>
      <w:rPr>
        <w:rFonts w:hint="default"/>
      </w:rPr>
    </w:lvl>
    <w:lvl w:ilvl="7">
      <w:start w:val="0"/>
      <w:numFmt w:val="bullet"/>
      <w:lvlText w:val="•"/>
      <w:lvlJc w:val="left"/>
      <w:pPr>
        <w:ind w:left="4230" w:hanging="454"/>
      </w:pPr>
      <w:rPr>
        <w:rFonts w:hint="default"/>
      </w:rPr>
    </w:lvl>
    <w:lvl w:ilvl="8">
      <w:start w:val="0"/>
      <w:numFmt w:val="bullet"/>
      <w:lvlText w:val="•"/>
      <w:lvlJc w:val="left"/>
      <w:pPr>
        <w:ind w:left="4688" w:hanging="454"/>
      </w:pPr>
      <w:rPr>
        <w:rFonts w:hint="default"/>
      </w:rPr>
    </w:lvl>
  </w:abstractNum>
  <w:abstractNum w:abstractNumId="3">
    <w:multiLevelType w:val="hybridMultilevel"/>
    <w:lvl w:ilvl="0">
      <w:start w:val="3"/>
      <w:numFmt w:val="decimal"/>
      <w:lvlText w:val="%1"/>
      <w:lvlJc w:val="left"/>
      <w:pPr>
        <w:ind w:left="560" w:hanging="454"/>
        <w:jc w:val="left"/>
      </w:pPr>
      <w:rPr>
        <w:rFonts w:hint="default"/>
      </w:rPr>
    </w:lvl>
    <w:lvl w:ilvl="1">
      <w:start w:val="1"/>
      <w:numFmt w:val="decimal"/>
      <w:lvlText w:val="%1.%2"/>
      <w:lvlJc w:val="left"/>
      <w:pPr>
        <w:ind w:left="560" w:hanging="454"/>
        <w:jc w:val="left"/>
      </w:pPr>
      <w:rPr>
        <w:rFonts w:hint="default"/>
      </w:rPr>
    </w:lvl>
    <w:lvl w:ilvl="2">
      <w:start w:val="1"/>
      <w:numFmt w:val="decimal"/>
      <w:lvlText w:val="%1.%2.%3"/>
      <w:lvlJc w:val="left"/>
      <w:pPr>
        <w:ind w:left="560" w:hanging="454"/>
        <w:jc w:val="left"/>
      </w:pPr>
      <w:rPr>
        <w:rFonts w:hint="default" w:ascii="Trebuchet MS" w:hAnsi="Trebuchet MS" w:eastAsia="Trebuchet MS" w:cs="Trebuchet MS"/>
        <w:color w:val="586670"/>
        <w:spacing w:val="-17"/>
        <w:w w:val="78"/>
        <w:sz w:val="18"/>
        <w:szCs w:val="18"/>
      </w:rPr>
    </w:lvl>
    <w:lvl w:ilvl="3">
      <w:start w:val="0"/>
      <w:numFmt w:val="bullet"/>
      <w:lvlText w:val="•"/>
      <w:lvlJc w:val="left"/>
      <w:pPr>
        <w:ind w:left="1948" w:hanging="454"/>
      </w:pPr>
      <w:rPr>
        <w:rFonts w:hint="default"/>
      </w:rPr>
    </w:lvl>
    <w:lvl w:ilvl="4">
      <w:start w:val="0"/>
      <w:numFmt w:val="bullet"/>
      <w:lvlText w:val="•"/>
      <w:lvlJc w:val="left"/>
      <w:pPr>
        <w:ind w:left="2410" w:hanging="454"/>
      </w:pPr>
      <w:rPr>
        <w:rFonts w:hint="default"/>
      </w:rPr>
    </w:lvl>
    <w:lvl w:ilvl="5">
      <w:start w:val="0"/>
      <w:numFmt w:val="bullet"/>
      <w:lvlText w:val="•"/>
      <w:lvlJc w:val="left"/>
      <w:pPr>
        <w:ind w:left="2873" w:hanging="454"/>
      </w:pPr>
      <w:rPr>
        <w:rFonts w:hint="default"/>
      </w:rPr>
    </w:lvl>
    <w:lvl w:ilvl="6">
      <w:start w:val="0"/>
      <w:numFmt w:val="bullet"/>
      <w:lvlText w:val="•"/>
      <w:lvlJc w:val="left"/>
      <w:pPr>
        <w:ind w:left="3336" w:hanging="454"/>
      </w:pPr>
      <w:rPr>
        <w:rFonts w:hint="default"/>
      </w:rPr>
    </w:lvl>
    <w:lvl w:ilvl="7">
      <w:start w:val="0"/>
      <w:numFmt w:val="bullet"/>
      <w:lvlText w:val="•"/>
      <w:lvlJc w:val="left"/>
      <w:pPr>
        <w:ind w:left="3798" w:hanging="454"/>
      </w:pPr>
      <w:rPr>
        <w:rFonts w:hint="default"/>
      </w:rPr>
    </w:lvl>
    <w:lvl w:ilvl="8">
      <w:start w:val="0"/>
      <w:numFmt w:val="bullet"/>
      <w:lvlText w:val="•"/>
      <w:lvlJc w:val="left"/>
      <w:pPr>
        <w:ind w:left="4261" w:hanging="454"/>
      </w:pPr>
      <w:rPr>
        <w:rFonts w:hint="default"/>
      </w:rPr>
    </w:lvl>
  </w:abstractNum>
  <w:abstractNum w:abstractNumId="2">
    <w:multiLevelType w:val="hybridMultilevel"/>
    <w:lvl w:ilvl="0">
      <w:start w:val="1"/>
      <w:numFmt w:val="lowerLetter"/>
      <w:lvlText w:val="(%1)"/>
      <w:lvlJc w:val="left"/>
      <w:pPr>
        <w:ind w:left="333" w:hanging="227"/>
        <w:jc w:val="left"/>
      </w:pPr>
      <w:rPr>
        <w:rFonts w:hint="default" w:ascii="Trebuchet MS" w:hAnsi="Trebuchet MS" w:eastAsia="Trebuchet MS" w:cs="Trebuchet MS"/>
        <w:color w:val="586670"/>
        <w:spacing w:val="-1"/>
        <w:w w:val="79"/>
        <w:sz w:val="13"/>
        <w:szCs w:val="13"/>
      </w:rPr>
    </w:lvl>
    <w:lvl w:ilvl="1">
      <w:start w:val="0"/>
      <w:numFmt w:val="bullet"/>
      <w:lvlText w:val="•"/>
      <w:lvlJc w:val="left"/>
      <w:pPr>
        <w:ind w:left="1404" w:hanging="227"/>
      </w:pPr>
      <w:rPr>
        <w:rFonts w:hint="default"/>
      </w:rPr>
    </w:lvl>
    <w:lvl w:ilvl="2">
      <w:start w:val="0"/>
      <w:numFmt w:val="bullet"/>
      <w:lvlText w:val="•"/>
      <w:lvlJc w:val="left"/>
      <w:pPr>
        <w:ind w:left="2469" w:hanging="227"/>
      </w:pPr>
      <w:rPr>
        <w:rFonts w:hint="default"/>
      </w:rPr>
    </w:lvl>
    <w:lvl w:ilvl="3">
      <w:start w:val="0"/>
      <w:numFmt w:val="bullet"/>
      <w:lvlText w:val="•"/>
      <w:lvlJc w:val="left"/>
      <w:pPr>
        <w:ind w:left="3533" w:hanging="227"/>
      </w:pPr>
      <w:rPr>
        <w:rFonts w:hint="default"/>
      </w:rPr>
    </w:lvl>
    <w:lvl w:ilvl="4">
      <w:start w:val="0"/>
      <w:numFmt w:val="bullet"/>
      <w:lvlText w:val="•"/>
      <w:lvlJc w:val="left"/>
      <w:pPr>
        <w:ind w:left="4598" w:hanging="227"/>
      </w:pPr>
      <w:rPr>
        <w:rFonts w:hint="default"/>
      </w:rPr>
    </w:lvl>
    <w:lvl w:ilvl="5">
      <w:start w:val="0"/>
      <w:numFmt w:val="bullet"/>
      <w:lvlText w:val="•"/>
      <w:lvlJc w:val="left"/>
      <w:pPr>
        <w:ind w:left="5662" w:hanging="227"/>
      </w:pPr>
      <w:rPr>
        <w:rFonts w:hint="default"/>
      </w:rPr>
    </w:lvl>
    <w:lvl w:ilvl="6">
      <w:start w:val="0"/>
      <w:numFmt w:val="bullet"/>
      <w:lvlText w:val="•"/>
      <w:lvlJc w:val="left"/>
      <w:pPr>
        <w:ind w:left="6727" w:hanging="227"/>
      </w:pPr>
      <w:rPr>
        <w:rFonts w:hint="default"/>
      </w:rPr>
    </w:lvl>
    <w:lvl w:ilvl="7">
      <w:start w:val="0"/>
      <w:numFmt w:val="bullet"/>
      <w:lvlText w:val="•"/>
      <w:lvlJc w:val="left"/>
      <w:pPr>
        <w:ind w:left="7791" w:hanging="227"/>
      </w:pPr>
      <w:rPr>
        <w:rFonts w:hint="default"/>
      </w:rPr>
    </w:lvl>
    <w:lvl w:ilvl="8">
      <w:start w:val="0"/>
      <w:numFmt w:val="bullet"/>
      <w:lvlText w:val="•"/>
      <w:lvlJc w:val="left"/>
      <w:pPr>
        <w:ind w:left="8856" w:hanging="227"/>
      </w:pPr>
      <w:rPr>
        <w:rFonts w:hint="default"/>
      </w:rPr>
    </w:lvl>
  </w:abstractNum>
  <w:abstractNum w:abstractNumId="1">
    <w:multiLevelType w:val="hybridMultilevel"/>
    <w:lvl w:ilvl="0">
      <w:start w:val="1"/>
      <w:numFmt w:val="decimal"/>
      <w:lvlText w:val="%1."/>
      <w:lvlJc w:val="left"/>
      <w:pPr>
        <w:ind w:left="656" w:hanging="454"/>
        <w:jc w:val="right"/>
      </w:pPr>
      <w:rPr>
        <w:rFonts w:hint="default" w:ascii="Trebuchet MS" w:hAnsi="Trebuchet MS" w:eastAsia="Trebuchet MS" w:cs="Trebuchet MS"/>
        <w:b/>
        <w:bCs/>
        <w:color w:val="231F20"/>
        <w:spacing w:val="-10"/>
        <w:w w:val="87"/>
        <w:sz w:val="18"/>
        <w:szCs w:val="18"/>
      </w:rPr>
    </w:lvl>
    <w:lvl w:ilvl="1">
      <w:start w:val="1"/>
      <w:numFmt w:val="decimal"/>
      <w:lvlText w:val="%1.%2"/>
      <w:lvlJc w:val="left"/>
      <w:pPr>
        <w:ind w:left="656" w:hanging="454"/>
        <w:jc w:val="right"/>
      </w:pPr>
      <w:rPr>
        <w:rFonts w:hint="default" w:ascii="Trebuchet MS" w:hAnsi="Trebuchet MS" w:eastAsia="Trebuchet MS" w:cs="Trebuchet MS"/>
        <w:b/>
        <w:bCs/>
        <w:color w:val="586670"/>
        <w:spacing w:val="-18"/>
        <w:w w:val="87"/>
        <w:sz w:val="18"/>
        <w:szCs w:val="18"/>
      </w:rPr>
    </w:lvl>
    <w:lvl w:ilvl="2">
      <w:start w:val="1"/>
      <w:numFmt w:val="decimal"/>
      <w:lvlText w:val="%1.%2.%3"/>
      <w:lvlJc w:val="left"/>
      <w:pPr>
        <w:ind w:left="202" w:hanging="454"/>
        <w:jc w:val="left"/>
      </w:pPr>
      <w:rPr>
        <w:rFonts w:hint="default" w:ascii="Trebuchet MS" w:hAnsi="Trebuchet MS" w:eastAsia="Trebuchet MS" w:cs="Trebuchet MS"/>
        <w:color w:val="586670"/>
        <w:spacing w:val="-17"/>
        <w:w w:val="78"/>
        <w:sz w:val="18"/>
        <w:szCs w:val="18"/>
      </w:rPr>
    </w:lvl>
    <w:lvl w:ilvl="3">
      <w:start w:val="0"/>
      <w:numFmt w:val="bullet"/>
      <w:lvlText w:val="•"/>
      <w:lvlJc w:val="left"/>
      <w:pPr>
        <w:ind w:left="1020" w:hanging="454"/>
      </w:pPr>
      <w:rPr>
        <w:rFonts w:hint="default"/>
      </w:rPr>
    </w:lvl>
    <w:lvl w:ilvl="4">
      <w:start w:val="0"/>
      <w:numFmt w:val="bullet"/>
      <w:lvlText w:val="•"/>
      <w:lvlJc w:val="left"/>
      <w:pPr>
        <w:ind w:left="811" w:hanging="454"/>
      </w:pPr>
      <w:rPr>
        <w:rFonts w:hint="default"/>
      </w:rPr>
    </w:lvl>
    <w:lvl w:ilvl="5">
      <w:start w:val="0"/>
      <w:numFmt w:val="bullet"/>
      <w:lvlText w:val="•"/>
      <w:lvlJc w:val="left"/>
      <w:pPr>
        <w:ind w:left="603" w:hanging="454"/>
      </w:pPr>
      <w:rPr>
        <w:rFonts w:hint="default"/>
      </w:rPr>
    </w:lvl>
    <w:lvl w:ilvl="6">
      <w:start w:val="0"/>
      <w:numFmt w:val="bullet"/>
      <w:lvlText w:val="•"/>
      <w:lvlJc w:val="left"/>
      <w:pPr>
        <w:ind w:left="395" w:hanging="454"/>
      </w:pPr>
      <w:rPr>
        <w:rFonts w:hint="default"/>
      </w:rPr>
    </w:lvl>
    <w:lvl w:ilvl="7">
      <w:start w:val="0"/>
      <w:numFmt w:val="bullet"/>
      <w:lvlText w:val="•"/>
      <w:lvlJc w:val="left"/>
      <w:pPr>
        <w:ind w:left="187" w:hanging="454"/>
      </w:pPr>
      <w:rPr>
        <w:rFonts w:hint="default"/>
      </w:rPr>
    </w:lvl>
    <w:lvl w:ilvl="8">
      <w:start w:val="0"/>
      <w:numFmt w:val="bullet"/>
      <w:lvlText w:val="•"/>
      <w:lvlJc w:val="left"/>
      <w:pPr>
        <w:ind w:left="-22" w:hanging="454"/>
      </w:pPr>
      <w:rPr>
        <w:rFonts w:hint="default"/>
      </w:rPr>
    </w:lvl>
  </w:abstractNum>
  <w:abstractNum w:abstractNumId="0">
    <w:multiLevelType w:val="hybridMultilevel"/>
    <w:lvl w:ilvl="0">
      <w:start w:val="1"/>
      <w:numFmt w:val="decimal"/>
      <w:lvlText w:val="(%1)"/>
      <w:lvlJc w:val="left"/>
      <w:pPr>
        <w:ind w:left="1212" w:hanging="227"/>
        <w:jc w:val="left"/>
      </w:pPr>
      <w:rPr>
        <w:rFonts w:hint="default" w:ascii="Trebuchet MS" w:hAnsi="Trebuchet MS" w:eastAsia="Trebuchet MS" w:cs="Trebuchet MS"/>
        <w:color w:val="586670"/>
        <w:spacing w:val="-7"/>
        <w:w w:val="79"/>
        <w:sz w:val="13"/>
        <w:szCs w:val="13"/>
      </w:rPr>
    </w:lvl>
    <w:lvl w:ilvl="1">
      <w:start w:val="0"/>
      <w:numFmt w:val="bullet"/>
      <w:lvlText w:val="•"/>
      <w:lvlJc w:val="left"/>
      <w:pPr>
        <w:ind w:left="2196" w:hanging="227"/>
      </w:pPr>
      <w:rPr>
        <w:rFonts w:hint="default"/>
      </w:rPr>
    </w:lvl>
    <w:lvl w:ilvl="2">
      <w:start w:val="0"/>
      <w:numFmt w:val="bullet"/>
      <w:lvlText w:val="•"/>
      <w:lvlJc w:val="left"/>
      <w:pPr>
        <w:ind w:left="3173" w:hanging="227"/>
      </w:pPr>
      <w:rPr>
        <w:rFonts w:hint="default"/>
      </w:rPr>
    </w:lvl>
    <w:lvl w:ilvl="3">
      <w:start w:val="0"/>
      <w:numFmt w:val="bullet"/>
      <w:lvlText w:val="•"/>
      <w:lvlJc w:val="left"/>
      <w:pPr>
        <w:ind w:left="4149" w:hanging="227"/>
      </w:pPr>
      <w:rPr>
        <w:rFonts w:hint="default"/>
      </w:rPr>
    </w:lvl>
    <w:lvl w:ilvl="4">
      <w:start w:val="0"/>
      <w:numFmt w:val="bullet"/>
      <w:lvlText w:val="•"/>
      <w:lvlJc w:val="left"/>
      <w:pPr>
        <w:ind w:left="5126" w:hanging="227"/>
      </w:pPr>
      <w:rPr>
        <w:rFonts w:hint="default"/>
      </w:rPr>
    </w:lvl>
    <w:lvl w:ilvl="5">
      <w:start w:val="0"/>
      <w:numFmt w:val="bullet"/>
      <w:lvlText w:val="•"/>
      <w:lvlJc w:val="left"/>
      <w:pPr>
        <w:ind w:left="6102" w:hanging="227"/>
      </w:pPr>
      <w:rPr>
        <w:rFonts w:hint="default"/>
      </w:rPr>
    </w:lvl>
    <w:lvl w:ilvl="6">
      <w:start w:val="0"/>
      <w:numFmt w:val="bullet"/>
      <w:lvlText w:val="•"/>
      <w:lvlJc w:val="left"/>
      <w:pPr>
        <w:ind w:left="7079" w:hanging="227"/>
      </w:pPr>
      <w:rPr>
        <w:rFonts w:hint="default"/>
      </w:rPr>
    </w:lvl>
    <w:lvl w:ilvl="7">
      <w:start w:val="0"/>
      <w:numFmt w:val="bullet"/>
      <w:lvlText w:val="•"/>
      <w:lvlJc w:val="left"/>
      <w:pPr>
        <w:ind w:left="8055" w:hanging="227"/>
      </w:pPr>
      <w:rPr>
        <w:rFonts w:hint="default"/>
      </w:rPr>
    </w:lvl>
    <w:lvl w:ilvl="8">
      <w:start w:val="0"/>
      <w:numFmt w:val="bullet"/>
      <w:lvlText w:val="•"/>
      <w:lvlJc w:val="left"/>
      <w:pPr>
        <w:ind w:left="9032" w:hanging="227"/>
      </w:pPr>
      <w:rPr>
        <w:rFonts w:hint="default"/>
      </w:rPr>
    </w:lvl>
  </w:abstract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rebuchet MS" w:hAnsi="Trebuchet MS" w:eastAsia="Trebuchet MS" w:cs="Trebuchet MS"/>
    </w:rPr>
  </w:style>
  <w:style w:styleId="BodyText" w:type="paragraph">
    <w:name w:val="Body Text"/>
    <w:basedOn w:val="Normal"/>
    <w:uiPriority w:val="1"/>
    <w:qFormat/>
    <w:pPr/>
    <w:rPr>
      <w:rFonts w:ascii="Trebuchet MS" w:hAnsi="Trebuchet MS" w:eastAsia="Trebuchet MS" w:cs="Trebuchet MS"/>
      <w:sz w:val="18"/>
      <w:szCs w:val="18"/>
    </w:rPr>
  </w:style>
  <w:style w:styleId="Heading1" w:type="paragraph">
    <w:name w:val="Heading 1"/>
    <w:basedOn w:val="Normal"/>
    <w:uiPriority w:val="1"/>
    <w:qFormat/>
    <w:pPr>
      <w:spacing w:before="228"/>
      <w:ind w:left="787" w:right="1085"/>
      <w:outlineLvl w:val="1"/>
    </w:pPr>
    <w:rPr>
      <w:rFonts w:ascii="Trebuchet MS" w:hAnsi="Trebuchet MS" w:eastAsia="Trebuchet MS" w:cs="Trebuchet MS"/>
      <w:sz w:val="116"/>
      <w:szCs w:val="116"/>
    </w:rPr>
  </w:style>
  <w:style w:styleId="Heading2" w:type="paragraph">
    <w:name w:val="Heading 2"/>
    <w:basedOn w:val="Normal"/>
    <w:uiPriority w:val="1"/>
    <w:qFormat/>
    <w:pPr>
      <w:spacing w:before="72"/>
      <w:ind w:left="20"/>
      <w:outlineLvl w:val="2"/>
    </w:pPr>
    <w:rPr>
      <w:rFonts w:ascii="Trebuchet MS" w:hAnsi="Trebuchet MS" w:eastAsia="Trebuchet MS" w:cs="Trebuchet MS"/>
      <w:sz w:val="25"/>
      <w:szCs w:val="25"/>
    </w:rPr>
  </w:style>
  <w:style w:styleId="Heading3" w:type="paragraph">
    <w:name w:val="Heading 3"/>
    <w:basedOn w:val="Normal"/>
    <w:uiPriority w:val="1"/>
    <w:qFormat/>
    <w:pPr>
      <w:ind w:left="560"/>
      <w:outlineLvl w:val="3"/>
    </w:pPr>
    <w:rPr>
      <w:rFonts w:ascii="Trebuchet MS" w:hAnsi="Trebuchet MS" w:eastAsia="Trebuchet MS" w:cs="Trebuchet MS"/>
      <w:b/>
      <w:bCs/>
      <w:sz w:val="18"/>
      <w:szCs w:val="18"/>
    </w:rPr>
  </w:style>
  <w:style w:styleId="ListParagraph" w:type="paragraph">
    <w:name w:val="List Paragraph"/>
    <w:basedOn w:val="Normal"/>
    <w:uiPriority w:val="1"/>
    <w:qFormat/>
    <w:pPr>
      <w:ind w:left="333" w:hanging="227"/>
    </w:pPr>
    <w:rPr>
      <w:rFonts w:ascii="Trebuchet MS" w:hAnsi="Trebuchet MS" w:eastAsia="Trebuchet MS" w:cs="Trebuchet MS"/>
    </w:rPr>
  </w:style>
  <w:style w:styleId="TableParagraph" w:type="paragraph">
    <w:name w:val="Table Paragraph"/>
    <w:basedOn w:val="Normal"/>
    <w:uiPriority w:val="1"/>
    <w:qFormat/>
    <w:pPr>
      <w:spacing w:before="43" w:line="172" w:lineRule="exact"/>
    </w:pPr>
    <w:rPr>
      <w:rFonts w:ascii="Trebuchet MS" w:hAnsi="Trebuchet MS" w:eastAsia="Trebuchet MS" w:cs="Trebuchet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header" Target="header2.xml"/><Relationship Id="rId23" Type="http://schemas.openxmlformats.org/officeDocument/2006/relationships/footer" Target="footer1.xml"/><Relationship Id="rId24" Type="http://schemas.openxmlformats.org/officeDocument/2006/relationships/footer" Target="footer2.xml"/><Relationship Id="rId25" Type="http://schemas.openxmlformats.org/officeDocument/2006/relationships/hyperlink" Target="http://www.nestle.com/investors/corporategovernance" TargetMode="External"/><Relationship Id="rId26" Type="http://schemas.openxmlformats.org/officeDocument/2006/relationships/header" Target="header3.xml"/><Relationship Id="rId27" Type="http://schemas.openxmlformats.org/officeDocument/2006/relationships/hyperlink" Target="http://www.nestle.com/" TargetMode="External"/><Relationship Id="rId28" Type="http://schemas.openxmlformats.org/officeDocument/2006/relationships/hyperlink" Target="http://www.nestle.com/investors" TargetMode="External"/><Relationship Id="rId29" Type="http://schemas.openxmlformats.org/officeDocument/2006/relationships/header" Target="header4.xml"/><Relationship Id="rId30" Type="http://schemas.openxmlformats.org/officeDocument/2006/relationships/footer" Target="footer3.xml"/><Relationship Id="rId31" Type="http://schemas.openxmlformats.org/officeDocument/2006/relationships/footer" Target="footer4.xml"/><Relationship Id="rId32" Type="http://schemas.openxmlformats.org/officeDocument/2006/relationships/header" Target="header5.xml"/><Relationship Id="rId33" Type="http://schemas.openxmlformats.org/officeDocument/2006/relationships/header" Target="header6.xml"/><Relationship Id="rId34" Type="http://schemas.openxmlformats.org/officeDocument/2006/relationships/header" Target="header7.xml"/><Relationship Id="rId35" Type="http://schemas.openxmlformats.org/officeDocument/2006/relationships/header" Target="header8.xml"/><Relationship Id="rId36" Type="http://schemas.openxmlformats.org/officeDocument/2006/relationships/footer" Target="footer5.xml"/><Relationship Id="rId37" Type="http://schemas.openxmlformats.org/officeDocument/2006/relationships/footer" Target="footer6.xml"/><Relationship Id="rId38" Type="http://schemas.openxmlformats.org/officeDocument/2006/relationships/image" Target="media/image17.png"/><Relationship Id="rId39" Type="http://schemas.openxmlformats.org/officeDocument/2006/relationships/image" Target="media/image18.png"/><Relationship Id="rId40" Type="http://schemas.openxmlformats.org/officeDocument/2006/relationships/image" Target="media/image19.png"/><Relationship Id="rId41" Type="http://schemas.openxmlformats.org/officeDocument/2006/relationships/image" Target="media/image20.png"/><Relationship Id="rId42" Type="http://schemas.openxmlformats.org/officeDocument/2006/relationships/image" Target="media/image21.png"/><Relationship Id="rId43" Type="http://schemas.openxmlformats.org/officeDocument/2006/relationships/image" Target="media/image22.png"/><Relationship Id="rId44" Type="http://schemas.openxmlformats.org/officeDocument/2006/relationships/image" Target="media/image23.png"/><Relationship Id="rId45" Type="http://schemas.openxmlformats.org/officeDocument/2006/relationships/image" Target="media/image24.png"/><Relationship Id="rId46" Type="http://schemas.openxmlformats.org/officeDocument/2006/relationships/image" Target="media/image25.png"/><Relationship Id="rId47" Type="http://schemas.openxmlformats.org/officeDocument/2006/relationships/image" Target="media/image26.png"/><Relationship Id="rId48" Type="http://schemas.openxmlformats.org/officeDocument/2006/relationships/image" Target="media/image27.png"/><Relationship Id="rId49" Type="http://schemas.openxmlformats.org/officeDocument/2006/relationships/image" Target="media/image28.png"/><Relationship Id="rId50" Type="http://schemas.openxmlformats.org/officeDocument/2006/relationships/image" Target="media/image29.png"/><Relationship Id="rId51" Type="http://schemas.openxmlformats.org/officeDocument/2006/relationships/image" Target="media/image30.png"/><Relationship Id="rId52" Type="http://schemas.openxmlformats.org/officeDocument/2006/relationships/footer" Target="footer7.xml"/><Relationship Id="rId53" Type="http://schemas.openxmlformats.org/officeDocument/2006/relationships/footer" Target="footer8.xml"/><Relationship Id="rId54" Type="http://schemas.openxmlformats.org/officeDocument/2006/relationships/header" Target="header9.xml"/><Relationship Id="rId55" Type="http://schemas.openxmlformats.org/officeDocument/2006/relationships/footer" Target="footer9.xml"/><Relationship Id="rId56" Type="http://schemas.openxmlformats.org/officeDocument/2006/relationships/footer" Target="footer10.xml"/><Relationship Id="rId57" Type="http://schemas.openxmlformats.org/officeDocument/2006/relationships/header" Target="header10.xml"/><Relationship Id="rId58" Type="http://schemas.openxmlformats.org/officeDocument/2006/relationships/image" Target="media/image31.png"/><Relationship Id="rId59" Type="http://schemas.openxmlformats.org/officeDocument/2006/relationships/image" Target="media/image32.png"/><Relationship Id="rId60" Type="http://schemas.openxmlformats.org/officeDocument/2006/relationships/image" Target="media/image33.png"/><Relationship Id="rId61" Type="http://schemas.openxmlformats.org/officeDocument/2006/relationships/image" Target="media/image34.png"/><Relationship Id="rId62" Type="http://schemas.openxmlformats.org/officeDocument/2006/relationships/header" Target="header11.xml"/><Relationship Id="rId63" Type="http://schemas.openxmlformats.org/officeDocument/2006/relationships/image" Target="media/image35.png"/><Relationship Id="rId64" Type="http://schemas.openxmlformats.org/officeDocument/2006/relationships/image" Target="media/image36.png"/><Relationship Id="rId65" Type="http://schemas.openxmlformats.org/officeDocument/2006/relationships/image" Target="media/image37.png"/><Relationship Id="rId66" Type="http://schemas.openxmlformats.org/officeDocument/2006/relationships/image" Target="media/image38.png"/><Relationship Id="rId67" Type="http://schemas.openxmlformats.org/officeDocument/2006/relationships/header" Target="header12.xml"/><Relationship Id="rId68" Type="http://schemas.openxmlformats.org/officeDocument/2006/relationships/footer" Target="footer11.xml"/><Relationship Id="rId69" Type="http://schemas.openxmlformats.org/officeDocument/2006/relationships/footer" Target="footer12.xml"/><Relationship Id="rId70" Type="http://schemas.openxmlformats.org/officeDocument/2006/relationships/image" Target="media/image39.png"/><Relationship Id="rId71" Type="http://schemas.openxmlformats.org/officeDocument/2006/relationships/image" Target="media/image40.png"/><Relationship Id="rId72" Type="http://schemas.openxmlformats.org/officeDocument/2006/relationships/image" Target="media/image41.png"/><Relationship Id="rId73" Type="http://schemas.openxmlformats.org/officeDocument/2006/relationships/image" Target="media/image42.png"/><Relationship Id="rId74" Type="http://schemas.openxmlformats.org/officeDocument/2006/relationships/header" Target="header13.xml"/><Relationship Id="rId75" Type="http://schemas.openxmlformats.org/officeDocument/2006/relationships/header" Target="header14.xml"/><Relationship Id="rId76" Type="http://schemas.openxmlformats.org/officeDocument/2006/relationships/header" Target="header15.xml"/><Relationship Id="rId77" Type="http://schemas.openxmlformats.org/officeDocument/2006/relationships/footer" Target="footer13.xml"/><Relationship Id="rId78" Type="http://schemas.openxmlformats.org/officeDocument/2006/relationships/footer" Target="footer14.xml"/><Relationship Id="rId79" Type="http://schemas.openxmlformats.org/officeDocument/2006/relationships/header" Target="header16.xml"/><Relationship Id="rId80" Type="http://schemas.openxmlformats.org/officeDocument/2006/relationships/header" Target="header17.xml"/><Relationship Id="rId81" Type="http://schemas.openxmlformats.org/officeDocument/2006/relationships/hyperlink" Target="mailto:ir@nestle.com" TargetMode="External"/><Relationship Id="rId82" Type="http://schemas.openxmlformats.org/officeDocument/2006/relationships/header" Target="header18.xml"/><Relationship Id="rId83" Type="http://schemas.openxmlformats.org/officeDocument/2006/relationships/footer" Target="footer15.xml"/><Relationship Id="rId84" Type="http://schemas.openxmlformats.org/officeDocument/2006/relationships/footer" Target="footer16.xml"/><Relationship Id="rId85" Type="http://schemas.openxmlformats.org/officeDocument/2006/relationships/header" Target="header19.xml"/><Relationship Id="rId86" Type="http://schemas.openxmlformats.org/officeDocument/2006/relationships/header" Target="header20.xml"/><Relationship Id="rId87" Type="http://schemas.openxmlformats.org/officeDocument/2006/relationships/footer" Target="footer17.xml"/><Relationship Id="rId88" Type="http://schemas.openxmlformats.org/officeDocument/2006/relationships/footer" Target="footer18.xml"/><Relationship Id="rId89" Type="http://schemas.openxmlformats.org/officeDocument/2006/relationships/header" Target="header21.xml"/><Relationship Id="rId90" Type="http://schemas.openxmlformats.org/officeDocument/2006/relationships/header" Target="header22.xml"/><Relationship Id="rId91" Type="http://schemas.openxmlformats.org/officeDocument/2006/relationships/header" Target="header23.xml"/><Relationship Id="rId92" Type="http://schemas.openxmlformats.org/officeDocument/2006/relationships/footer" Target="footer19.xml"/><Relationship Id="rId93" Type="http://schemas.openxmlformats.org/officeDocument/2006/relationships/footer" Target="footer20.xml"/><Relationship Id="rId94" Type="http://schemas.openxmlformats.org/officeDocument/2006/relationships/header" Target="header24.xml"/><Relationship Id="rId95" Type="http://schemas.openxmlformats.org/officeDocument/2006/relationships/header" Target="header25.xml"/><Relationship Id="rId96" Type="http://schemas.openxmlformats.org/officeDocument/2006/relationships/header" Target="header26.xml"/><Relationship Id="rId97" Type="http://schemas.openxmlformats.org/officeDocument/2006/relationships/footer" Target="footer21.xml"/><Relationship Id="rId98" Type="http://schemas.openxmlformats.org/officeDocument/2006/relationships/footer" Target="footer22.xml"/><Relationship Id="rId99" Type="http://schemas.openxmlformats.org/officeDocument/2006/relationships/numbering" Target="numbering.xml"/></Relationships>

</file>

<file path=word/_rels/footer7.xml.rels><?xml version="1.0" encoding="UTF-8" standalone="yes"?>
<Relationships xmlns="http://schemas.openxmlformats.org/package/2006/relationships"><Relationship Id="rId1" Type="http://schemas.openxmlformats.org/officeDocument/2006/relationships/hyperlink" Target="http://www.nestle.com/investors/corporategovernanc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2019-05-14T13:57:11Z</dcterms:created>
  <dcterms:modified xsi:type="dcterms:W3CDTF">2019-05-14T13:57:11Z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2014-02-21T00:00:00Z</vt:filetime>
  </property>
  <property fmtid="{D5CDD505-2E9C-101B-9397-08002B2CF9AE}" pid="3" name="Creator">
    <vt:lpwstr>Adobe InDesign CS6 (Windows)</vt:lpwstr>
  </property>
  <property fmtid="{D5CDD505-2E9C-101B-9397-08002B2CF9AE}" pid="4" name="LastSaved">
    <vt:filetime>2019-05-14T00:00:00Z</vt:filetime>
  </property>
</Properties>
</file>